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851F" w14:textId="7E912C5F" w:rsidR="00986F9C" w:rsidRPr="00FE6AD0" w:rsidRDefault="00986F9C" w:rsidP="008B5281">
      <w:pPr>
        <w:autoSpaceDE w:val="0"/>
        <w:autoSpaceDN w:val="0"/>
        <w:adjustRightInd w:val="0"/>
        <w:spacing w:after="0" w:line="360" w:lineRule="auto"/>
        <w:rPr>
          <w:rFonts w:cs="Arial"/>
          <w:sz w:val="21"/>
          <w:szCs w:val="21"/>
        </w:rPr>
      </w:pPr>
    </w:p>
    <w:p w14:paraId="249512A9" w14:textId="4344F0C0" w:rsidR="00FE6AD0" w:rsidRPr="00FE6AD0" w:rsidRDefault="00FE6AD0" w:rsidP="008B5281">
      <w:pPr>
        <w:autoSpaceDE w:val="0"/>
        <w:autoSpaceDN w:val="0"/>
        <w:adjustRightInd w:val="0"/>
        <w:spacing w:after="0" w:line="360" w:lineRule="auto"/>
        <w:rPr>
          <w:rFonts w:cs="Arial"/>
          <w:b/>
          <w:bCs/>
          <w:color w:val="000000"/>
          <w:sz w:val="28"/>
          <w:szCs w:val="28"/>
        </w:rPr>
      </w:pPr>
      <w:r w:rsidRPr="00FE6AD0">
        <w:rPr>
          <w:rFonts w:cs="Arial"/>
          <w:b/>
          <w:bCs/>
          <w:color w:val="000000"/>
          <w:sz w:val="28"/>
          <w:szCs w:val="28"/>
        </w:rPr>
        <w:t>ZAŁĄCZNIK NR 1</w:t>
      </w:r>
    </w:p>
    <w:p w14:paraId="5482B18F" w14:textId="77777777" w:rsidR="00D06FCF" w:rsidRDefault="00D06FCF" w:rsidP="008B5281">
      <w:pPr>
        <w:autoSpaceDE w:val="0"/>
        <w:autoSpaceDN w:val="0"/>
        <w:adjustRightInd w:val="0"/>
        <w:spacing w:after="0" w:line="360" w:lineRule="auto"/>
        <w:jc w:val="center"/>
        <w:rPr>
          <w:rFonts w:cs="Arial"/>
          <w:b/>
          <w:bCs/>
          <w:color w:val="000000"/>
          <w:sz w:val="28"/>
          <w:szCs w:val="28"/>
        </w:rPr>
      </w:pPr>
    </w:p>
    <w:p w14:paraId="05F9AE66" w14:textId="0AB81ECF" w:rsidR="00FE6AD0" w:rsidRDefault="00FE6AD0" w:rsidP="008B5281">
      <w:pPr>
        <w:autoSpaceDE w:val="0"/>
        <w:autoSpaceDN w:val="0"/>
        <w:adjustRightInd w:val="0"/>
        <w:spacing w:after="0" w:line="360" w:lineRule="auto"/>
        <w:jc w:val="center"/>
        <w:rPr>
          <w:rFonts w:cs="Arial"/>
          <w:b/>
          <w:bCs/>
          <w:color w:val="000000"/>
          <w:sz w:val="28"/>
          <w:szCs w:val="28"/>
        </w:rPr>
      </w:pPr>
      <w:r w:rsidRPr="00FE6AD0">
        <w:rPr>
          <w:rFonts w:cs="Arial"/>
          <w:b/>
          <w:bCs/>
          <w:color w:val="000000"/>
          <w:sz w:val="28"/>
          <w:szCs w:val="28"/>
        </w:rPr>
        <w:t>SZCZEGÓŁOWY OPIS PRZEDMIOTU ZAMÓWIENIA</w:t>
      </w:r>
    </w:p>
    <w:p w14:paraId="140CFBEC" w14:textId="77777777" w:rsidR="00FE6AD0" w:rsidRPr="00FE6AD0" w:rsidRDefault="00FE6AD0" w:rsidP="008B5281">
      <w:pPr>
        <w:autoSpaceDE w:val="0"/>
        <w:autoSpaceDN w:val="0"/>
        <w:adjustRightInd w:val="0"/>
        <w:spacing w:after="0" w:line="360" w:lineRule="auto"/>
        <w:jc w:val="center"/>
        <w:rPr>
          <w:rFonts w:cs="Arial"/>
          <w:color w:val="000000"/>
          <w:sz w:val="28"/>
          <w:szCs w:val="28"/>
        </w:rPr>
      </w:pPr>
    </w:p>
    <w:p w14:paraId="56A430BB" w14:textId="34A8312D" w:rsidR="00FE6AD0" w:rsidRPr="00FE6AD0" w:rsidRDefault="00FE6AD0" w:rsidP="00B7519B">
      <w:pPr>
        <w:spacing w:after="0" w:line="360" w:lineRule="auto"/>
        <w:ind w:firstLine="708"/>
        <w:jc w:val="both"/>
        <w:rPr>
          <w:rFonts w:cs="Arial"/>
          <w:color w:val="000000"/>
          <w:sz w:val="21"/>
          <w:szCs w:val="21"/>
        </w:rPr>
      </w:pPr>
      <w:r w:rsidRPr="00FE6AD0">
        <w:rPr>
          <w:rFonts w:cs="Arial"/>
          <w:color w:val="000000"/>
          <w:sz w:val="21"/>
          <w:szCs w:val="21"/>
        </w:rPr>
        <w:t xml:space="preserve">Przedmiotem zapytania ofertowego jest przeprowadzenie audytu finansowego projektu </w:t>
      </w:r>
      <w:r w:rsidRPr="00FE6AD0">
        <w:rPr>
          <w:rFonts w:eastAsia="Times New Roman" w:cs="Arial"/>
          <w:sz w:val="21"/>
          <w:szCs w:val="21"/>
          <w:lang w:eastAsia="pl-PL"/>
        </w:rPr>
        <w:t>„</w:t>
      </w:r>
      <w:r w:rsidRPr="00FE6AD0">
        <w:rPr>
          <w:rFonts w:eastAsia="Times New Roman" w:cs="Arial"/>
          <w:b/>
          <w:bCs/>
          <w:sz w:val="21"/>
          <w:szCs w:val="21"/>
          <w:lang w:eastAsia="pl-PL"/>
        </w:rPr>
        <w:t>SCENA GALICYJSKA –NASZA WSPÓLNA HISTORIA – Promocja kultury ukraińskiej i kultury polskiej w ramach współpracy Ośrodka Promocji Kultury Polskiej we Lwowie oraz Domu Ukraińskiego w Przemyślu”</w:t>
      </w:r>
      <w:r w:rsidRPr="00FE6AD0">
        <w:rPr>
          <w:rFonts w:cs="Arial"/>
          <w:color w:val="000000"/>
          <w:sz w:val="21"/>
          <w:szCs w:val="21"/>
        </w:rPr>
        <w:t xml:space="preserve">, w części dotyczącej Partnera Wiodącego (LB), współfinansowanego w ramach Programu Współpracy Transgranicznej Polska-Białoruś-Ukraina 2014-2020, na który składać się będzie: </w:t>
      </w:r>
    </w:p>
    <w:p w14:paraId="73EE602E" w14:textId="05CB0935" w:rsidR="00FE6AD0" w:rsidRPr="00FE6AD0" w:rsidRDefault="00FE6AD0" w:rsidP="008B5281">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1. Weryfikacja wydatków poniesionych w ramach projektu przez Zamawiającego (na podstawie wszystkich informacji finansowych i niefinansowych), a następnie sporządzenie skonsolidowanego raportu z kontroli wydatków. Wzory raportów znajdują się na stronie internetowej</w:t>
      </w:r>
      <w:r w:rsidR="008435CF">
        <w:rPr>
          <w:rFonts w:cs="Arial"/>
          <w:color w:val="000000"/>
          <w:sz w:val="21"/>
          <w:szCs w:val="21"/>
        </w:rPr>
        <w:t xml:space="preserve"> </w:t>
      </w:r>
      <w:hyperlink r:id="rId8" w:history="1">
        <w:r w:rsidR="008435CF" w:rsidRPr="00674943">
          <w:rPr>
            <w:rStyle w:val="Hipercze"/>
            <w:rFonts w:cs="Arial"/>
            <w:sz w:val="21"/>
            <w:szCs w:val="21"/>
          </w:rPr>
          <w:t>https://www.pbu2020.eu/pl/pages/343</w:t>
        </w:r>
      </w:hyperlink>
      <w:r w:rsidRPr="00FE6AD0">
        <w:rPr>
          <w:rFonts w:cs="Arial"/>
          <w:color w:val="000000"/>
          <w:sz w:val="21"/>
          <w:szCs w:val="21"/>
        </w:rPr>
        <w:t xml:space="preserve">. </w:t>
      </w:r>
    </w:p>
    <w:p w14:paraId="715C6FC5" w14:textId="77777777" w:rsidR="008B5281" w:rsidRDefault="008B5281" w:rsidP="008B5281">
      <w:pPr>
        <w:autoSpaceDE w:val="0"/>
        <w:autoSpaceDN w:val="0"/>
        <w:adjustRightInd w:val="0"/>
        <w:spacing w:after="0" w:line="360" w:lineRule="auto"/>
        <w:rPr>
          <w:rFonts w:cs="Arial"/>
          <w:color w:val="000000"/>
          <w:sz w:val="21"/>
          <w:szCs w:val="21"/>
        </w:rPr>
      </w:pPr>
    </w:p>
    <w:p w14:paraId="1AECB448" w14:textId="0ABFE340" w:rsidR="00FE6AD0" w:rsidRPr="00FE6AD0" w:rsidRDefault="00FE6AD0" w:rsidP="00A322D7">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2. Zakłada się, iż w związku z realizacją projektu konieczne będzie wykonanie co najmniej dwóch raportów</w:t>
      </w:r>
      <w:r w:rsidR="00CB78B4" w:rsidRPr="00E441B2">
        <w:rPr>
          <w:rFonts w:cs="Arial"/>
          <w:sz w:val="21"/>
          <w:szCs w:val="21"/>
        </w:rPr>
        <w:t>, którą muszą być zaakceptowane przez Wsp</w:t>
      </w:r>
      <w:r w:rsidR="00A322D7" w:rsidRPr="00E441B2">
        <w:rPr>
          <w:rFonts w:cs="Arial"/>
          <w:sz w:val="21"/>
          <w:szCs w:val="21"/>
        </w:rPr>
        <w:t>ólny Sekretariat Techniczny Programu Współpracy Transgranicznej Polska-Białoruś-Ukraina</w:t>
      </w:r>
      <w:r w:rsidRPr="00E441B2">
        <w:rPr>
          <w:rFonts w:cs="Arial"/>
          <w:sz w:val="21"/>
          <w:szCs w:val="21"/>
        </w:rPr>
        <w:t xml:space="preserve">: </w:t>
      </w:r>
    </w:p>
    <w:p w14:paraId="05CCF378" w14:textId="2AE45E8C" w:rsidR="00FE6AD0" w:rsidRPr="00FE6AD0" w:rsidRDefault="008435CF" w:rsidP="008B5281">
      <w:pPr>
        <w:autoSpaceDE w:val="0"/>
        <w:autoSpaceDN w:val="0"/>
        <w:adjustRightInd w:val="0"/>
        <w:spacing w:after="0" w:line="360" w:lineRule="auto"/>
        <w:jc w:val="both"/>
        <w:rPr>
          <w:rFonts w:cs="Arial"/>
          <w:color w:val="000000"/>
          <w:sz w:val="21"/>
          <w:szCs w:val="21"/>
        </w:rPr>
      </w:pPr>
      <w:r>
        <w:rPr>
          <w:rFonts w:cs="Arial"/>
          <w:color w:val="000000"/>
          <w:sz w:val="21"/>
          <w:szCs w:val="21"/>
        </w:rPr>
        <w:t>-</w:t>
      </w:r>
      <w:r w:rsidR="00FE6AD0" w:rsidRPr="00FE6AD0">
        <w:rPr>
          <w:rFonts w:cs="Arial"/>
          <w:color w:val="000000"/>
          <w:sz w:val="21"/>
          <w:szCs w:val="21"/>
        </w:rPr>
        <w:t xml:space="preserve"> </w:t>
      </w:r>
      <w:r w:rsidR="00FE6AD0" w:rsidRPr="00FE6AD0">
        <w:rPr>
          <w:rFonts w:cs="Arial"/>
          <w:b/>
          <w:bCs/>
          <w:color w:val="000000"/>
          <w:sz w:val="21"/>
          <w:szCs w:val="21"/>
        </w:rPr>
        <w:t xml:space="preserve">raport pośredni </w:t>
      </w:r>
      <w:r w:rsidR="00FE6AD0" w:rsidRPr="00FE6AD0">
        <w:rPr>
          <w:rFonts w:cs="Arial"/>
          <w:color w:val="000000"/>
          <w:sz w:val="21"/>
          <w:szCs w:val="21"/>
        </w:rPr>
        <w:t xml:space="preserve">(co najmniej 1) – składający się z części opisowej i części finansowej. Proces opracowania raportu pośredniego rozpoczyna się na poziomie Zamawiającego, który przygotowuje indywidualny raport pośredni dotyczący jego zakresu realizacji projektu. Zamawiający powinien przedstawić indywidualny raport pośredni i wszystkie niezbędne dokumenty swojemu Niezależnemu Audytorowi do końca okresu sprawozdawczego. </w:t>
      </w:r>
    </w:p>
    <w:p w14:paraId="22A4F6BF" w14:textId="62503136" w:rsidR="00FE6AD0" w:rsidRPr="00FE6AD0" w:rsidRDefault="008435CF" w:rsidP="008B5281">
      <w:pPr>
        <w:autoSpaceDE w:val="0"/>
        <w:autoSpaceDN w:val="0"/>
        <w:adjustRightInd w:val="0"/>
        <w:spacing w:after="0" w:line="360" w:lineRule="auto"/>
        <w:jc w:val="both"/>
        <w:rPr>
          <w:rFonts w:cs="Arial"/>
          <w:color w:val="000000"/>
          <w:sz w:val="21"/>
          <w:szCs w:val="21"/>
        </w:rPr>
      </w:pPr>
      <w:r>
        <w:rPr>
          <w:rFonts w:cs="Arial"/>
          <w:color w:val="000000"/>
          <w:sz w:val="21"/>
          <w:szCs w:val="21"/>
        </w:rPr>
        <w:t>-</w:t>
      </w:r>
      <w:r w:rsidR="00FE6AD0" w:rsidRPr="00FE6AD0">
        <w:rPr>
          <w:rFonts w:cs="Arial"/>
          <w:color w:val="000000"/>
          <w:sz w:val="21"/>
          <w:szCs w:val="21"/>
        </w:rPr>
        <w:t xml:space="preserve"> </w:t>
      </w:r>
      <w:r w:rsidR="00FE6AD0" w:rsidRPr="00FE6AD0">
        <w:rPr>
          <w:rFonts w:cs="Arial"/>
          <w:b/>
          <w:bCs/>
          <w:color w:val="000000"/>
          <w:sz w:val="21"/>
          <w:szCs w:val="21"/>
        </w:rPr>
        <w:t xml:space="preserve">raport końcowy - </w:t>
      </w:r>
      <w:r w:rsidR="00FE6AD0" w:rsidRPr="00FE6AD0">
        <w:rPr>
          <w:rFonts w:cs="Arial"/>
          <w:color w:val="000000"/>
          <w:sz w:val="21"/>
          <w:szCs w:val="21"/>
        </w:rPr>
        <w:t xml:space="preserve">procedura przygotowania raportu jest zbliżona do procedury przygotowania raportu pośredniego. Tym niemniej, zakres raportu końcowego jest szerszy, ponieważ obejmuje on informacje podsumowujące realizację całości projektu. Szczególną uwagę należy poświęcić raportowaniu osiągnięcia celów i wskaźników projektu. </w:t>
      </w:r>
    </w:p>
    <w:p w14:paraId="1E177C1C" w14:textId="4BC9E22E" w:rsidR="008B5281" w:rsidRPr="00E441B2" w:rsidRDefault="00A322D7" w:rsidP="00A322D7">
      <w:pPr>
        <w:autoSpaceDE w:val="0"/>
        <w:autoSpaceDN w:val="0"/>
        <w:adjustRightInd w:val="0"/>
        <w:spacing w:after="0" w:line="360" w:lineRule="auto"/>
        <w:jc w:val="both"/>
        <w:rPr>
          <w:rFonts w:cs="Arial"/>
          <w:sz w:val="21"/>
          <w:szCs w:val="21"/>
        </w:rPr>
      </w:pPr>
      <w:r w:rsidRPr="00E441B2">
        <w:rPr>
          <w:rFonts w:cs="Arial"/>
          <w:sz w:val="21"/>
          <w:szCs w:val="21"/>
        </w:rPr>
        <w:t>Audytor w ramach usługi zobowiązuje się do dokonywania korekt sprawozdań aż do momentu uzyskania akceptacji przez Wspólny Sekretariat Techniczny Programu Współpracy Transgranicznej Polska-Białoruś-Ukraina:</w:t>
      </w:r>
    </w:p>
    <w:p w14:paraId="2D9AC10C" w14:textId="5CAE198F"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3. Raporty powinny zostać sporządzone w języku Umowy o Dofinansowanie, tj. w języku angielskim. </w:t>
      </w:r>
    </w:p>
    <w:p w14:paraId="24ECC406" w14:textId="77777777" w:rsidR="00FE6AD0" w:rsidRPr="00FE6AD0" w:rsidRDefault="00FE6AD0" w:rsidP="008B5281">
      <w:pPr>
        <w:autoSpaceDE w:val="0"/>
        <w:autoSpaceDN w:val="0"/>
        <w:adjustRightInd w:val="0"/>
        <w:spacing w:after="0" w:line="360" w:lineRule="auto"/>
        <w:rPr>
          <w:rFonts w:cs="Arial"/>
          <w:color w:val="000000"/>
          <w:sz w:val="21"/>
          <w:szCs w:val="21"/>
        </w:rPr>
      </w:pPr>
    </w:p>
    <w:p w14:paraId="2A28EBC7"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Audytor prowadzi weryfikację wydatków na podstawie obowiązujących go procedur kontroli ustanowionych w Programie oraz zgodnie z: </w:t>
      </w:r>
    </w:p>
    <w:p w14:paraId="7EEA03B6" w14:textId="77777777" w:rsidR="00FE6AD0" w:rsidRPr="00FE6AD0" w:rsidRDefault="00FE6AD0" w:rsidP="00B81D92">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lastRenderedPageBreak/>
        <w:t xml:space="preserve">─ Międzynarodowym Standardem Usług Pokrewnych 4400 Usługi wykonywania procedur przewidzianych dla informacji finansowych w wersji wydanej przez Międzynarodową Federację Księgowych (IFAC); </w:t>
      </w:r>
    </w:p>
    <w:p w14:paraId="729D55D3" w14:textId="77777777" w:rsidR="00FE6AD0" w:rsidRPr="00FE6AD0" w:rsidRDefault="00FE6AD0" w:rsidP="008B5281">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 xml:space="preserve">─ Kodeksem etyki zawodowych księgowych opracowanym i wydanym przez Radę Międzynarodowych Standardów Etyki dla Księgowych IFAC. </w:t>
      </w:r>
    </w:p>
    <w:p w14:paraId="18F27179" w14:textId="77777777" w:rsidR="00FE6AD0" w:rsidRPr="00FE6AD0" w:rsidRDefault="00FE6AD0" w:rsidP="008B5281">
      <w:pPr>
        <w:autoSpaceDE w:val="0"/>
        <w:autoSpaceDN w:val="0"/>
        <w:adjustRightInd w:val="0"/>
        <w:spacing w:after="0" w:line="360" w:lineRule="auto"/>
        <w:rPr>
          <w:rFonts w:cs="Arial"/>
          <w:color w:val="000000"/>
          <w:sz w:val="21"/>
          <w:szCs w:val="21"/>
        </w:rPr>
      </w:pPr>
    </w:p>
    <w:p w14:paraId="27F7DF23" w14:textId="77777777" w:rsidR="00FE6AD0" w:rsidRPr="00FE6AD0" w:rsidRDefault="00FE6AD0" w:rsidP="008B5281">
      <w:pPr>
        <w:autoSpaceDE w:val="0"/>
        <w:autoSpaceDN w:val="0"/>
        <w:adjustRightInd w:val="0"/>
        <w:spacing w:after="0" w:line="360" w:lineRule="auto"/>
        <w:jc w:val="both"/>
        <w:rPr>
          <w:rFonts w:cs="Arial"/>
          <w:color w:val="000000"/>
          <w:sz w:val="21"/>
          <w:szCs w:val="21"/>
        </w:rPr>
      </w:pPr>
      <w:r w:rsidRPr="00FE6AD0">
        <w:rPr>
          <w:rFonts w:cs="Arial"/>
          <w:color w:val="000000"/>
          <w:sz w:val="21"/>
          <w:szCs w:val="21"/>
        </w:rPr>
        <w:t xml:space="preserve">Zasady zamówień publicznych zawarte w Podręczniku Programu definiują procedury przetargowe i ogłoszeniowe mające zastosowanie do różnych wartości progowych. W zależności od kraju Beneficjenta należy wziąć pod uwagę następujące poziomy: </w:t>
      </w:r>
    </w:p>
    <w:p w14:paraId="6B3813AF"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 Podręcznik Programu zawierający procedury zamówień; </w:t>
      </w:r>
    </w:p>
    <w:p w14:paraId="615815D6"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 przepisy krajowe; </w:t>
      </w:r>
    </w:p>
    <w:p w14:paraId="0B4A96ED"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 wewnętrzne zasady organizacji partnerskiej. </w:t>
      </w:r>
    </w:p>
    <w:p w14:paraId="5897A90C" w14:textId="77777777" w:rsidR="00FE6AD0" w:rsidRPr="00FE6AD0" w:rsidRDefault="00FE6AD0" w:rsidP="008B5281">
      <w:pPr>
        <w:autoSpaceDE w:val="0"/>
        <w:autoSpaceDN w:val="0"/>
        <w:adjustRightInd w:val="0"/>
        <w:spacing w:after="0" w:line="360" w:lineRule="auto"/>
        <w:rPr>
          <w:rFonts w:cs="Arial"/>
          <w:sz w:val="21"/>
          <w:szCs w:val="21"/>
        </w:rPr>
      </w:pPr>
    </w:p>
    <w:p w14:paraId="3C22A0B6" w14:textId="7DB97672" w:rsid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Szczegółowe informacje, obejmujące m.in. zakres prac jakie należy wykonać w związku z przygotowaniem raportu, dostępne są na stronie </w:t>
      </w:r>
      <w:hyperlink r:id="rId9" w:history="1">
        <w:r w:rsidR="008435CF" w:rsidRPr="00674943">
          <w:rPr>
            <w:rStyle w:val="Hipercze"/>
            <w:rFonts w:cs="Arial"/>
            <w:sz w:val="21"/>
            <w:szCs w:val="21"/>
          </w:rPr>
          <w:t>https://www.pbu2020.eu/en/pages/340</w:t>
        </w:r>
      </w:hyperlink>
      <w:r w:rsidR="008435CF">
        <w:rPr>
          <w:rFonts w:cs="Arial"/>
          <w:color w:val="000000"/>
          <w:sz w:val="21"/>
          <w:szCs w:val="21"/>
        </w:rPr>
        <w:t>.</w:t>
      </w:r>
      <w:r w:rsidRPr="00FE6AD0">
        <w:rPr>
          <w:rFonts w:cs="Arial"/>
          <w:color w:val="000000"/>
          <w:sz w:val="21"/>
          <w:szCs w:val="21"/>
        </w:rPr>
        <w:t xml:space="preserve"> </w:t>
      </w:r>
      <w:r w:rsidR="008435CF">
        <w:rPr>
          <w:rFonts w:cs="Arial"/>
          <w:color w:val="000000"/>
          <w:sz w:val="21"/>
          <w:szCs w:val="21"/>
        </w:rPr>
        <w:t>T</w:t>
      </w:r>
      <w:r w:rsidRPr="00FE6AD0">
        <w:rPr>
          <w:rFonts w:cs="Arial"/>
          <w:color w:val="000000"/>
          <w:sz w:val="21"/>
          <w:szCs w:val="21"/>
        </w:rPr>
        <w:t xml:space="preserve">łumaczenie robocze dostępne na stronie </w:t>
      </w:r>
      <w:hyperlink r:id="rId10" w:history="1">
        <w:r w:rsidR="008435CF" w:rsidRPr="00FE6AD0">
          <w:rPr>
            <w:rStyle w:val="Hipercze"/>
            <w:rFonts w:cs="Arial"/>
            <w:sz w:val="21"/>
            <w:szCs w:val="21"/>
          </w:rPr>
          <w:t>https://www.pbu2020.eu/pl/pages/343</w:t>
        </w:r>
      </w:hyperlink>
      <w:r w:rsidR="008435CF">
        <w:rPr>
          <w:rFonts w:cs="Arial"/>
          <w:color w:val="000000"/>
          <w:sz w:val="21"/>
          <w:szCs w:val="21"/>
        </w:rPr>
        <w:t>.</w:t>
      </w:r>
    </w:p>
    <w:p w14:paraId="7174BDB2" w14:textId="77777777" w:rsidR="008435CF" w:rsidRPr="00FE6AD0" w:rsidRDefault="008435CF" w:rsidP="008B5281">
      <w:pPr>
        <w:autoSpaceDE w:val="0"/>
        <w:autoSpaceDN w:val="0"/>
        <w:adjustRightInd w:val="0"/>
        <w:spacing w:after="0" w:line="360" w:lineRule="auto"/>
        <w:rPr>
          <w:rFonts w:cs="Arial"/>
          <w:color w:val="000000"/>
          <w:sz w:val="21"/>
          <w:szCs w:val="21"/>
        </w:rPr>
      </w:pPr>
    </w:p>
    <w:p w14:paraId="18FF08AC" w14:textId="3B82B234" w:rsidR="003B6508" w:rsidRPr="008435CF" w:rsidRDefault="00FE6AD0" w:rsidP="008B5281">
      <w:pPr>
        <w:autoSpaceDE w:val="0"/>
        <w:autoSpaceDN w:val="0"/>
        <w:adjustRightInd w:val="0"/>
        <w:spacing w:after="0" w:line="360" w:lineRule="auto"/>
        <w:jc w:val="both"/>
        <w:rPr>
          <w:rFonts w:cs="Arial"/>
          <w:b/>
          <w:bCs/>
          <w:color w:val="000000"/>
          <w:sz w:val="21"/>
          <w:szCs w:val="21"/>
        </w:rPr>
      </w:pPr>
      <w:r w:rsidRPr="008435CF">
        <w:rPr>
          <w:rFonts w:cs="Arial"/>
          <w:b/>
          <w:bCs/>
          <w:color w:val="000000"/>
          <w:sz w:val="21"/>
          <w:szCs w:val="21"/>
        </w:rPr>
        <w:t>Warunkiem zawarcia umowy jest akceptacja audytora przez Kontrolny Punkt Kontaktowy.</w:t>
      </w:r>
      <w:r w:rsidR="00CE75BA">
        <w:rPr>
          <w:rFonts w:cs="Arial"/>
          <w:b/>
          <w:bCs/>
          <w:color w:val="000000"/>
          <w:sz w:val="21"/>
          <w:szCs w:val="21"/>
        </w:rPr>
        <w:t xml:space="preserve"> </w:t>
      </w:r>
    </w:p>
    <w:p w14:paraId="581E6ED9" w14:textId="0D057BA1" w:rsidR="00B71929" w:rsidRPr="00E441B2" w:rsidRDefault="00B71929" w:rsidP="00477784">
      <w:pPr>
        <w:autoSpaceDE w:val="0"/>
        <w:autoSpaceDN w:val="0"/>
        <w:adjustRightInd w:val="0"/>
        <w:spacing w:after="0" w:line="360" w:lineRule="auto"/>
        <w:jc w:val="both"/>
        <w:rPr>
          <w:rFonts w:cs="Arial"/>
          <w:b/>
          <w:bCs/>
          <w:sz w:val="21"/>
          <w:szCs w:val="21"/>
        </w:rPr>
      </w:pPr>
      <w:r w:rsidRPr="00E441B2">
        <w:rPr>
          <w:rFonts w:cs="Arial"/>
          <w:b/>
          <w:bCs/>
          <w:sz w:val="21"/>
          <w:szCs w:val="21"/>
        </w:rPr>
        <w:t>Należy wziąć pod uwagę możliwość wydłużenia terminu realizacji projektu</w:t>
      </w:r>
      <w:r w:rsidR="00477784" w:rsidRPr="00E441B2">
        <w:rPr>
          <w:rFonts w:cs="Arial"/>
          <w:b/>
          <w:bCs/>
          <w:sz w:val="21"/>
          <w:szCs w:val="21"/>
        </w:rPr>
        <w:t xml:space="preserve"> w ramach oferowanej usługi w przypadku zmian terminów realizacji projektu</w:t>
      </w:r>
      <w:r w:rsidRPr="00E441B2">
        <w:rPr>
          <w:rFonts w:cs="Arial"/>
          <w:b/>
          <w:bCs/>
          <w:sz w:val="21"/>
          <w:szCs w:val="21"/>
        </w:rPr>
        <w:t>.</w:t>
      </w:r>
    </w:p>
    <w:p w14:paraId="7DD4062A" w14:textId="49FD7424" w:rsidR="00FE6AD0" w:rsidRPr="00FE6AD0" w:rsidRDefault="00FE6AD0" w:rsidP="008B5281">
      <w:pPr>
        <w:autoSpaceDE w:val="0"/>
        <w:autoSpaceDN w:val="0"/>
        <w:adjustRightInd w:val="0"/>
        <w:spacing w:after="0" w:line="360" w:lineRule="auto"/>
        <w:rPr>
          <w:rFonts w:cs="Arial"/>
          <w:color w:val="000000"/>
          <w:sz w:val="21"/>
          <w:szCs w:val="21"/>
        </w:rPr>
      </w:pPr>
    </w:p>
    <w:p w14:paraId="1B5D5EB9" w14:textId="55DD362B" w:rsidR="00FE6AD0" w:rsidRPr="008435CF" w:rsidRDefault="00FE6AD0" w:rsidP="008B5281">
      <w:pPr>
        <w:autoSpaceDE w:val="0"/>
        <w:autoSpaceDN w:val="0"/>
        <w:adjustRightInd w:val="0"/>
        <w:spacing w:after="0" w:line="360" w:lineRule="auto"/>
        <w:jc w:val="center"/>
        <w:rPr>
          <w:rFonts w:cs="Arial"/>
          <w:b/>
          <w:bCs/>
          <w:sz w:val="28"/>
          <w:szCs w:val="28"/>
        </w:rPr>
      </w:pPr>
      <w:r w:rsidRPr="008435CF">
        <w:rPr>
          <w:rFonts w:cs="Arial"/>
          <w:b/>
          <w:bCs/>
          <w:sz w:val="28"/>
          <w:szCs w:val="28"/>
        </w:rPr>
        <w:t>PODSTAWOWE INFORMACJE O PROJEKCIE</w:t>
      </w:r>
    </w:p>
    <w:p w14:paraId="7F4E02DE" w14:textId="6ED1054B" w:rsidR="00FE6AD0" w:rsidRPr="00FE6AD0" w:rsidRDefault="00FE6AD0" w:rsidP="008B5281">
      <w:pPr>
        <w:autoSpaceDE w:val="0"/>
        <w:autoSpaceDN w:val="0"/>
        <w:adjustRightInd w:val="0"/>
        <w:spacing w:after="0" w:line="360" w:lineRule="auto"/>
        <w:rPr>
          <w:rFonts w:cs="Arial"/>
          <w:b/>
          <w:bCs/>
          <w:sz w:val="21"/>
          <w:szCs w:val="21"/>
        </w:rPr>
      </w:pPr>
    </w:p>
    <w:p w14:paraId="0058D301" w14:textId="51439289" w:rsidR="00FE6AD0" w:rsidRPr="00FE6AD0" w:rsidRDefault="00FE6AD0" w:rsidP="00613CD1">
      <w:pPr>
        <w:autoSpaceDE w:val="0"/>
        <w:autoSpaceDN w:val="0"/>
        <w:adjustRightInd w:val="0"/>
        <w:spacing w:after="0" w:line="360" w:lineRule="auto"/>
        <w:jc w:val="both"/>
        <w:rPr>
          <w:rFonts w:cs="Arial"/>
          <w:color w:val="000000"/>
          <w:sz w:val="21"/>
          <w:szCs w:val="21"/>
        </w:rPr>
      </w:pPr>
      <w:r w:rsidRPr="00FE6AD0">
        <w:rPr>
          <w:rFonts w:cs="Arial"/>
          <w:b/>
          <w:bCs/>
          <w:color w:val="000000"/>
          <w:sz w:val="21"/>
          <w:szCs w:val="21"/>
        </w:rPr>
        <w:t xml:space="preserve">Nazwa projektu: </w:t>
      </w:r>
      <w:r w:rsidR="008435CF" w:rsidRPr="00FE6AD0">
        <w:rPr>
          <w:rFonts w:eastAsia="Times New Roman" w:cs="Arial"/>
          <w:sz w:val="21"/>
          <w:szCs w:val="21"/>
          <w:lang w:eastAsia="pl-PL"/>
        </w:rPr>
        <w:t>„</w:t>
      </w:r>
      <w:r w:rsidR="008435CF" w:rsidRPr="008435CF">
        <w:rPr>
          <w:rFonts w:eastAsia="Times New Roman" w:cs="Arial"/>
          <w:sz w:val="21"/>
          <w:szCs w:val="21"/>
          <w:lang w:eastAsia="pl-PL"/>
        </w:rPr>
        <w:t>SCENA GALICYJSKA –</w:t>
      </w:r>
      <w:r w:rsidR="00EF272A">
        <w:rPr>
          <w:rFonts w:eastAsia="Times New Roman" w:cs="Arial"/>
          <w:sz w:val="21"/>
          <w:szCs w:val="21"/>
          <w:lang w:eastAsia="pl-PL"/>
        </w:rPr>
        <w:t xml:space="preserve"> </w:t>
      </w:r>
      <w:r w:rsidR="008435CF" w:rsidRPr="008435CF">
        <w:rPr>
          <w:rFonts w:eastAsia="Times New Roman" w:cs="Arial"/>
          <w:sz w:val="21"/>
          <w:szCs w:val="21"/>
          <w:lang w:eastAsia="pl-PL"/>
        </w:rPr>
        <w:t>NASZA WSPÓLNA HISTORIA – Promocja kultury ukraińskiej i kultury polskiej w ramach współpracy Ośrodka Promocji Kultury Polskiej we Lwowie oraz Domu Ukraińskiego w Przemyślu</w:t>
      </w:r>
      <w:r w:rsidR="008435CF" w:rsidRPr="008435CF">
        <w:rPr>
          <w:rFonts w:cs="Arial"/>
          <w:color w:val="000000"/>
          <w:sz w:val="21"/>
          <w:szCs w:val="21"/>
        </w:rPr>
        <w:t>”</w:t>
      </w:r>
      <w:r w:rsidRPr="00FE6AD0">
        <w:rPr>
          <w:rFonts w:cs="Arial"/>
          <w:color w:val="000000"/>
          <w:sz w:val="21"/>
          <w:szCs w:val="21"/>
        </w:rPr>
        <w:t xml:space="preserve"> </w:t>
      </w:r>
    </w:p>
    <w:p w14:paraId="341E28F3" w14:textId="77777777" w:rsidR="00EF272A" w:rsidRDefault="00EF272A" w:rsidP="008B5281">
      <w:pPr>
        <w:autoSpaceDE w:val="0"/>
        <w:autoSpaceDN w:val="0"/>
        <w:adjustRightInd w:val="0"/>
        <w:spacing w:after="0" w:line="360" w:lineRule="auto"/>
        <w:rPr>
          <w:rFonts w:cs="Arial"/>
          <w:b/>
          <w:bCs/>
          <w:color w:val="000000"/>
          <w:sz w:val="21"/>
          <w:szCs w:val="21"/>
        </w:rPr>
      </w:pPr>
    </w:p>
    <w:p w14:paraId="2712C2B3" w14:textId="77777777" w:rsidR="00CE75BA"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Okres realizacji: </w:t>
      </w:r>
      <w:r w:rsidRPr="00FE6AD0">
        <w:rPr>
          <w:rFonts w:cs="Arial"/>
          <w:color w:val="000000"/>
          <w:sz w:val="21"/>
          <w:szCs w:val="21"/>
        </w:rPr>
        <w:t>2</w:t>
      </w:r>
      <w:r w:rsidR="00EF272A">
        <w:rPr>
          <w:rFonts w:cs="Arial"/>
          <w:color w:val="000000"/>
          <w:sz w:val="21"/>
          <w:szCs w:val="21"/>
        </w:rPr>
        <w:t>0</w:t>
      </w:r>
      <w:r w:rsidRPr="00FE6AD0">
        <w:rPr>
          <w:rFonts w:cs="Arial"/>
          <w:color w:val="000000"/>
          <w:sz w:val="21"/>
          <w:szCs w:val="21"/>
        </w:rPr>
        <w:t xml:space="preserve"> miesi</w:t>
      </w:r>
      <w:r w:rsidR="00EF272A">
        <w:rPr>
          <w:rFonts w:cs="Arial"/>
          <w:color w:val="000000"/>
          <w:sz w:val="21"/>
          <w:szCs w:val="21"/>
        </w:rPr>
        <w:t>ęcy</w:t>
      </w:r>
      <w:r w:rsidRPr="00FE6AD0">
        <w:rPr>
          <w:rFonts w:cs="Arial"/>
          <w:color w:val="000000"/>
          <w:sz w:val="21"/>
          <w:szCs w:val="21"/>
        </w:rPr>
        <w:t xml:space="preserve"> (</w:t>
      </w:r>
      <w:r w:rsidR="008435CF">
        <w:rPr>
          <w:rFonts w:cs="Arial"/>
          <w:color w:val="000000"/>
          <w:sz w:val="21"/>
          <w:szCs w:val="21"/>
        </w:rPr>
        <w:t>15</w:t>
      </w:r>
      <w:r w:rsidRPr="00FE6AD0">
        <w:rPr>
          <w:rFonts w:cs="Arial"/>
          <w:color w:val="000000"/>
          <w:sz w:val="21"/>
          <w:szCs w:val="21"/>
        </w:rPr>
        <w:t>.0</w:t>
      </w:r>
      <w:r w:rsidR="008435CF">
        <w:rPr>
          <w:rFonts w:cs="Arial"/>
          <w:color w:val="000000"/>
          <w:sz w:val="21"/>
          <w:szCs w:val="21"/>
        </w:rPr>
        <w:t>4</w:t>
      </w:r>
      <w:r w:rsidRPr="00FE6AD0">
        <w:rPr>
          <w:rFonts w:cs="Arial"/>
          <w:color w:val="000000"/>
          <w:sz w:val="21"/>
          <w:szCs w:val="21"/>
        </w:rPr>
        <w:t>.20</w:t>
      </w:r>
      <w:r w:rsidR="008435CF">
        <w:rPr>
          <w:rFonts w:cs="Arial"/>
          <w:color w:val="000000"/>
          <w:sz w:val="21"/>
          <w:szCs w:val="21"/>
        </w:rPr>
        <w:t>22</w:t>
      </w:r>
      <w:r w:rsidRPr="00FE6AD0">
        <w:rPr>
          <w:rFonts w:cs="Arial"/>
          <w:color w:val="000000"/>
          <w:sz w:val="21"/>
          <w:szCs w:val="21"/>
        </w:rPr>
        <w:t xml:space="preserve"> r. – </w:t>
      </w:r>
      <w:r w:rsidR="00EF272A">
        <w:rPr>
          <w:rFonts w:cs="Arial"/>
          <w:color w:val="000000"/>
          <w:sz w:val="21"/>
          <w:szCs w:val="21"/>
        </w:rPr>
        <w:t>15</w:t>
      </w:r>
      <w:r w:rsidRPr="00FE6AD0">
        <w:rPr>
          <w:rFonts w:cs="Arial"/>
          <w:color w:val="000000"/>
          <w:sz w:val="21"/>
          <w:szCs w:val="21"/>
        </w:rPr>
        <w:t>.</w:t>
      </w:r>
      <w:r w:rsidR="00EF272A">
        <w:rPr>
          <w:rFonts w:cs="Arial"/>
          <w:color w:val="000000"/>
          <w:sz w:val="21"/>
          <w:szCs w:val="21"/>
        </w:rPr>
        <w:t>12</w:t>
      </w:r>
      <w:r w:rsidRPr="00FE6AD0">
        <w:rPr>
          <w:rFonts w:cs="Arial"/>
          <w:color w:val="000000"/>
          <w:sz w:val="21"/>
          <w:szCs w:val="21"/>
        </w:rPr>
        <w:t>.202</w:t>
      </w:r>
      <w:r w:rsidR="00EF272A">
        <w:rPr>
          <w:rFonts w:cs="Arial"/>
          <w:color w:val="000000"/>
          <w:sz w:val="21"/>
          <w:szCs w:val="21"/>
        </w:rPr>
        <w:t>3</w:t>
      </w:r>
      <w:r w:rsidRPr="00FE6AD0">
        <w:rPr>
          <w:rFonts w:cs="Arial"/>
          <w:color w:val="000000"/>
          <w:sz w:val="21"/>
          <w:szCs w:val="21"/>
        </w:rPr>
        <w:t xml:space="preserve"> r.)</w:t>
      </w:r>
      <w:r w:rsidR="00CE75BA">
        <w:rPr>
          <w:rFonts w:cs="Arial"/>
          <w:color w:val="000000"/>
          <w:sz w:val="21"/>
          <w:szCs w:val="21"/>
        </w:rPr>
        <w:t>.</w:t>
      </w:r>
    </w:p>
    <w:p w14:paraId="6AA374D9" w14:textId="4E5B2C77" w:rsidR="00FE6AD0" w:rsidRPr="00B71929" w:rsidRDefault="00CE75BA" w:rsidP="00CB78B4">
      <w:pPr>
        <w:autoSpaceDE w:val="0"/>
        <w:autoSpaceDN w:val="0"/>
        <w:adjustRightInd w:val="0"/>
        <w:spacing w:after="0" w:line="360" w:lineRule="auto"/>
        <w:jc w:val="both"/>
        <w:rPr>
          <w:rFonts w:cs="Arial"/>
          <w:b/>
          <w:bCs/>
          <w:color w:val="000000"/>
          <w:sz w:val="21"/>
          <w:szCs w:val="21"/>
        </w:rPr>
      </w:pPr>
      <w:r w:rsidRPr="00B71929">
        <w:rPr>
          <w:rFonts w:cs="Arial"/>
          <w:b/>
          <w:bCs/>
          <w:color w:val="000000"/>
          <w:sz w:val="21"/>
          <w:szCs w:val="21"/>
        </w:rPr>
        <w:t>Należy wziąć pod uwagę możliwość wydłużenia terminu realizacji projektu.</w:t>
      </w:r>
    </w:p>
    <w:p w14:paraId="50C0898A" w14:textId="77777777" w:rsidR="00EF272A" w:rsidRDefault="00EF272A" w:rsidP="008B5281">
      <w:pPr>
        <w:autoSpaceDE w:val="0"/>
        <w:autoSpaceDN w:val="0"/>
        <w:adjustRightInd w:val="0"/>
        <w:spacing w:after="0" w:line="360" w:lineRule="auto"/>
        <w:rPr>
          <w:rFonts w:cs="Arial"/>
          <w:b/>
          <w:bCs/>
          <w:color w:val="000000"/>
          <w:sz w:val="21"/>
          <w:szCs w:val="21"/>
        </w:rPr>
      </w:pPr>
    </w:p>
    <w:p w14:paraId="1BC69E79" w14:textId="59545379" w:rsidR="00FE6AD0" w:rsidRPr="00FE6AD0" w:rsidRDefault="00FE6AD0" w:rsidP="00613CD1">
      <w:pPr>
        <w:autoSpaceDE w:val="0"/>
        <w:autoSpaceDN w:val="0"/>
        <w:adjustRightInd w:val="0"/>
        <w:spacing w:after="0" w:line="360" w:lineRule="auto"/>
        <w:jc w:val="both"/>
        <w:rPr>
          <w:rFonts w:cs="Arial"/>
          <w:color w:val="000000"/>
          <w:sz w:val="21"/>
          <w:szCs w:val="21"/>
        </w:rPr>
      </w:pPr>
      <w:r w:rsidRPr="00FE6AD0">
        <w:rPr>
          <w:rFonts w:cs="Arial"/>
          <w:b/>
          <w:bCs/>
          <w:color w:val="000000"/>
          <w:sz w:val="21"/>
          <w:szCs w:val="21"/>
        </w:rPr>
        <w:t xml:space="preserve">Cel ogólny projektu: </w:t>
      </w:r>
      <w:r w:rsidR="00EF272A" w:rsidRPr="008435CF">
        <w:rPr>
          <w:rFonts w:eastAsia="Times New Roman" w:cs="Arial"/>
          <w:sz w:val="21"/>
          <w:szCs w:val="21"/>
          <w:lang w:eastAsia="pl-PL"/>
        </w:rPr>
        <w:t xml:space="preserve">Promocja kultury ukraińskiej i kultury polskiej w ramach współpracy </w:t>
      </w:r>
      <w:r w:rsidR="00D06FCF">
        <w:rPr>
          <w:rFonts w:eastAsia="Times New Roman" w:cs="Arial"/>
          <w:sz w:val="21"/>
          <w:szCs w:val="21"/>
          <w:lang w:eastAsia="pl-PL"/>
        </w:rPr>
        <w:t>Centrum</w:t>
      </w:r>
      <w:r w:rsidR="00EF272A" w:rsidRPr="008435CF">
        <w:rPr>
          <w:rFonts w:eastAsia="Times New Roman" w:cs="Arial"/>
          <w:sz w:val="21"/>
          <w:szCs w:val="21"/>
          <w:lang w:eastAsia="pl-PL"/>
        </w:rPr>
        <w:t xml:space="preserve"> Promocji Kultury Polskiej we Lwowie oraz Domu Ukraińskiego w Przemyślu</w:t>
      </w:r>
      <w:r w:rsidR="00EF272A">
        <w:rPr>
          <w:rFonts w:eastAsia="Times New Roman" w:cs="Arial"/>
          <w:sz w:val="21"/>
          <w:szCs w:val="21"/>
          <w:lang w:eastAsia="pl-PL"/>
        </w:rPr>
        <w:t xml:space="preserve"> (promocja kultury lokalnej i dziedzictwa kulturowego)</w:t>
      </w:r>
      <w:r w:rsidRPr="00FE6AD0">
        <w:rPr>
          <w:rFonts w:cs="Arial"/>
          <w:color w:val="000000"/>
          <w:sz w:val="21"/>
          <w:szCs w:val="21"/>
        </w:rPr>
        <w:t xml:space="preserve">. </w:t>
      </w:r>
    </w:p>
    <w:p w14:paraId="34057AC4" w14:textId="77777777" w:rsidR="00EF272A" w:rsidRDefault="00EF272A" w:rsidP="008B5281">
      <w:pPr>
        <w:autoSpaceDE w:val="0"/>
        <w:autoSpaceDN w:val="0"/>
        <w:adjustRightInd w:val="0"/>
        <w:spacing w:after="0" w:line="360" w:lineRule="auto"/>
        <w:rPr>
          <w:rFonts w:cs="Arial"/>
          <w:b/>
          <w:bCs/>
          <w:color w:val="000000"/>
          <w:sz w:val="21"/>
          <w:szCs w:val="21"/>
        </w:rPr>
      </w:pPr>
    </w:p>
    <w:p w14:paraId="2DBA5090" w14:textId="05694EED"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Cele szczegółowe projektu: </w:t>
      </w:r>
    </w:p>
    <w:p w14:paraId="1C66FBE4"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r w:rsidRPr="00D06FCF">
        <w:rPr>
          <w:rFonts w:eastAsia="Times New Roman" w:cs="Arial"/>
          <w:color w:val="000000"/>
          <w:sz w:val="21"/>
          <w:szCs w:val="21"/>
          <w:lang w:eastAsia="pl-PL"/>
        </w:rPr>
        <w:lastRenderedPageBreak/>
        <w:t>Rozwijanie współpracy transgranicznej w celu promocji kultury i historii mniejszości polskiej i ukraińskiej we Lwowie i w Przemyślu poprzez tworzenie długoterminowych programów skierowanych na działania w obszarze promocji i kultywacji dziedzictwa historycznego.</w:t>
      </w:r>
    </w:p>
    <w:p w14:paraId="35DA1253"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p>
    <w:p w14:paraId="09FDD259" w14:textId="21EE58F9" w:rsidR="00D06FCF" w:rsidRPr="00D06FCF" w:rsidRDefault="00D06FCF" w:rsidP="00D06FCF">
      <w:pPr>
        <w:spacing w:after="0" w:line="360" w:lineRule="auto"/>
        <w:jc w:val="both"/>
        <w:rPr>
          <w:rFonts w:ascii="Times New Roman" w:eastAsia="Times New Roman" w:hAnsi="Times New Roman" w:cs="Times New Roman"/>
          <w:szCs w:val="24"/>
          <w:lang w:eastAsia="pl-PL"/>
        </w:rPr>
      </w:pPr>
      <w:r w:rsidRPr="00D06FCF">
        <w:rPr>
          <w:rFonts w:eastAsia="Times New Roman" w:cs="Arial"/>
          <w:color w:val="000000"/>
          <w:sz w:val="21"/>
          <w:szCs w:val="21"/>
          <w:lang w:eastAsia="pl-PL"/>
        </w:rPr>
        <w:t>Tworzenie zaplecza dla obecnej i przyszłej współpracy transgranicznej poprzez przygotowanie struktur technicznych (Dom Ukraiński w Przemyślu, Centrum</w:t>
      </w:r>
      <w:r>
        <w:rPr>
          <w:rFonts w:eastAsia="Times New Roman" w:cs="Arial"/>
          <w:color w:val="000000"/>
          <w:sz w:val="21"/>
          <w:szCs w:val="21"/>
          <w:lang w:eastAsia="pl-PL"/>
        </w:rPr>
        <w:t xml:space="preserve"> Promocji</w:t>
      </w:r>
      <w:r w:rsidRPr="00D06FCF">
        <w:rPr>
          <w:rFonts w:eastAsia="Times New Roman" w:cs="Arial"/>
          <w:color w:val="000000"/>
          <w:sz w:val="21"/>
          <w:szCs w:val="21"/>
          <w:lang w:eastAsia="pl-PL"/>
        </w:rPr>
        <w:t xml:space="preserve"> Kultury Polskiej we Lwowie) z uwzględnieniem ochrony zabytków, które byłyby wykorzystane dla różnorakich działań integrujących społeczeństwa i promujących kulturę i historię.</w:t>
      </w:r>
    </w:p>
    <w:p w14:paraId="697B4BCA"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p>
    <w:p w14:paraId="3A176BB6" w14:textId="77777777" w:rsidR="00D06FCF" w:rsidRPr="00D06FCF" w:rsidRDefault="00D06FCF" w:rsidP="00D06FCF">
      <w:pPr>
        <w:spacing w:after="0" w:line="360" w:lineRule="auto"/>
        <w:jc w:val="both"/>
        <w:rPr>
          <w:rFonts w:ascii="Times New Roman" w:eastAsia="Times New Roman" w:hAnsi="Times New Roman" w:cs="Times New Roman"/>
          <w:szCs w:val="24"/>
          <w:lang w:eastAsia="pl-PL"/>
        </w:rPr>
      </w:pPr>
      <w:r w:rsidRPr="00D06FCF">
        <w:rPr>
          <w:rFonts w:eastAsia="Times New Roman" w:cs="Arial"/>
          <w:color w:val="000000"/>
          <w:sz w:val="21"/>
          <w:szCs w:val="21"/>
          <w:lang w:eastAsia="pl-PL"/>
        </w:rPr>
        <w:t>Zainicjowanie współpracy transgranicznej w zakresie promocji i kultywacji dziedzictwa kulturowego oraz historycznego mniejszości polskiej i ukraińskiej w ramach podstawowych działań projektu.</w:t>
      </w:r>
    </w:p>
    <w:p w14:paraId="542DDA73" w14:textId="77777777" w:rsidR="00AE4986" w:rsidRPr="00FE6AD0" w:rsidRDefault="00AE4986" w:rsidP="008B5281">
      <w:pPr>
        <w:autoSpaceDE w:val="0"/>
        <w:autoSpaceDN w:val="0"/>
        <w:adjustRightInd w:val="0"/>
        <w:spacing w:after="0" w:line="360" w:lineRule="auto"/>
        <w:rPr>
          <w:rFonts w:cs="Arial"/>
          <w:color w:val="000000"/>
          <w:sz w:val="21"/>
          <w:szCs w:val="21"/>
        </w:rPr>
      </w:pPr>
    </w:p>
    <w:p w14:paraId="4B823262" w14:textId="77777777" w:rsidR="00FE6AD0" w:rsidRPr="00FE6AD0"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t xml:space="preserve">Opis projektu: </w:t>
      </w:r>
    </w:p>
    <w:p w14:paraId="653226DF" w14:textId="64ED31DC" w:rsidR="00FE6AD0" w:rsidRDefault="00D06FCF" w:rsidP="00D06FCF">
      <w:pPr>
        <w:autoSpaceDE w:val="0"/>
        <w:autoSpaceDN w:val="0"/>
        <w:adjustRightInd w:val="0"/>
        <w:spacing w:after="0" w:line="360" w:lineRule="auto"/>
        <w:jc w:val="both"/>
        <w:rPr>
          <w:rFonts w:cs="Arial"/>
          <w:color w:val="000000"/>
          <w:sz w:val="21"/>
          <w:szCs w:val="21"/>
        </w:rPr>
      </w:pPr>
      <w:r>
        <w:rPr>
          <w:rFonts w:cs="Arial"/>
          <w:color w:val="000000"/>
          <w:sz w:val="21"/>
          <w:szCs w:val="21"/>
        </w:rPr>
        <w:t xml:space="preserve">Pomimo granic na przestrzeni lat region Galicji, w tym Lwów i Przemyśl, wykształcił swój niepowtarzalny, wielokulturowy, specyficzny charakter. Jednakże różne wydarzenia historyczne, przesiedlenia, deportacje, żelazna kurtyna oraz system totalitarny skutecznie wyeliminowały dialog kulturowy na tym obszarze. Niemniej jednak mniejszości narodowe pozostały w tych dwóch państwach </w:t>
      </w:r>
      <w:r>
        <w:rPr>
          <w:rFonts w:cs="Arial"/>
          <w:color w:val="202122"/>
          <w:sz w:val="21"/>
          <w:szCs w:val="21"/>
          <w:shd w:val="clear" w:color="auto" w:fill="FFFFFF"/>
        </w:rPr>
        <w:t>–</w:t>
      </w:r>
      <w:r>
        <w:rPr>
          <w:rFonts w:cs="Arial"/>
          <w:color w:val="000000"/>
          <w:sz w:val="21"/>
          <w:szCs w:val="21"/>
        </w:rPr>
        <w:t xml:space="preserve"> mniejszość polska w Ukrainie, a ukraińska </w:t>
      </w:r>
      <w:r>
        <w:rPr>
          <w:rFonts w:cs="Arial"/>
          <w:color w:val="202122"/>
          <w:sz w:val="21"/>
          <w:szCs w:val="21"/>
          <w:shd w:val="clear" w:color="auto" w:fill="FFFFFF"/>
        </w:rPr>
        <w:t>–</w:t>
      </w:r>
      <w:r>
        <w:rPr>
          <w:rFonts w:cs="Arial"/>
          <w:color w:val="000000"/>
          <w:sz w:val="21"/>
          <w:szCs w:val="21"/>
        </w:rPr>
        <w:t xml:space="preserve"> w Polsce. Grupy te nadal pielęgnują swoje tradycje tworząc mozaikę kulturową regionu i podtrzymują tożsamość narodową choć ich działalność nie jest odpowiednio eksponowana i promowana. Celem tego projektu jest popularyzacja kultur mniejszości narodowych </w:t>
      </w:r>
      <w:r>
        <w:rPr>
          <w:rFonts w:cs="Arial"/>
          <w:color w:val="202122"/>
          <w:sz w:val="21"/>
          <w:szCs w:val="21"/>
          <w:shd w:val="clear" w:color="auto" w:fill="FFFFFF"/>
        </w:rPr>
        <w:t>–</w:t>
      </w:r>
      <w:r>
        <w:rPr>
          <w:rFonts w:cs="Arial"/>
          <w:color w:val="000000"/>
          <w:sz w:val="21"/>
          <w:szCs w:val="21"/>
        </w:rPr>
        <w:t xml:space="preserve"> polskiej we Lwowie i ukraińskiej w Przemyślu </w:t>
      </w:r>
      <w:r>
        <w:rPr>
          <w:rFonts w:cs="Arial"/>
          <w:color w:val="202122"/>
          <w:sz w:val="21"/>
          <w:szCs w:val="21"/>
          <w:shd w:val="clear" w:color="auto" w:fill="FFFFFF"/>
        </w:rPr>
        <w:t>–</w:t>
      </w:r>
      <w:r>
        <w:rPr>
          <w:rFonts w:cs="Arial"/>
          <w:color w:val="000000"/>
          <w:sz w:val="21"/>
          <w:szCs w:val="21"/>
        </w:rPr>
        <w:t xml:space="preserve"> poprzez utworzenie w obu miastach centrów kulturalnych dla mniejszości narodowych, które będą koncentrować się na systematycznym promowaniu  swoich kultur w regionie. Do tej pory tworzenie długoterminowych planów nie było możliwe głównie ze względu na brak środków finansowych. Z tego powodu dotychczasowe działania i ich efekty były jednorazowe i krótkoterminowe; miały lokalny zasięg i angażowały tylko niewielką liczbę osób. Rezultatem działań przeprowadzanych w centrach kulturalnych będzie wzrost aktywności kulturalnej mniejszości narodowych, zmiana w sposobie postrzegania ich przez większość oraz uatrakcyjnienie regionów dla turystów dzięki większej rozpoznawalności regionów jako wielokulturowe obszary, które warto odwiedzić ze względu na ich dziedzictwo historyczne i kulturowe. Oprócz partnerów i członków mniejszości narodowych beneficjentami projektu będą całe społeczności regionów i państw (Polski i Ukrainy). Zwłaszcza rozwój turystyki kulturowej przyniesie powszechne korzyści</w:t>
      </w:r>
      <w:r>
        <w:rPr>
          <w:rFonts w:cs="Arial"/>
          <w:color w:val="000000"/>
          <w:sz w:val="22"/>
        </w:rPr>
        <w:t>.</w:t>
      </w:r>
      <w:r>
        <w:rPr>
          <w:rFonts w:cs="Arial"/>
          <w:color w:val="000000"/>
          <w:sz w:val="21"/>
          <w:szCs w:val="21"/>
        </w:rPr>
        <w:t xml:space="preserve"> Goście i pozostali odwiedzający ten obszar będą głównymi </w:t>
      </w:r>
      <w:r>
        <w:rPr>
          <w:rFonts w:cs="Arial"/>
          <w:color w:val="000000"/>
          <w:sz w:val="22"/>
        </w:rPr>
        <w:t xml:space="preserve">odbiorcami </w:t>
      </w:r>
      <w:r>
        <w:rPr>
          <w:rFonts w:cs="Arial"/>
          <w:color w:val="000000"/>
          <w:sz w:val="21"/>
          <w:szCs w:val="21"/>
        </w:rPr>
        <w:t>projektu jak również jego naturalnymi “ambasadorami” w swoich rodzinnych regionach.</w:t>
      </w:r>
    </w:p>
    <w:p w14:paraId="7A9EAEB8" w14:textId="77777777" w:rsidR="00D06FCF" w:rsidRPr="00FE6AD0" w:rsidRDefault="00D06FCF" w:rsidP="00D06FCF">
      <w:pPr>
        <w:autoSpaceDE w:val="0"/>
        <w:autoSpaceDN w:val="0"/>
        <w:adjustRightInd w:val="0"/>
        <w:spacing w:after="0" w:line="360" w:lineRule="auto"/>
        <w:jc w:val="both"/>
        <w:rPr>
          <w:rFonts w:cs="Arial"/>
          <w:color w:val="000000"/>
          <w:sz w:val="21"/>
          <w:szCs w:val="21"/>
        </w:rPr>
      </w:pPr>
    </w:p>
    <w:p w14:paraId="500A30AC" w14:textId="34A1B4F7" w:rsidR="00FE6AD0" w:rsidRDefault="00FE6AD0" w:rsidP="008B5281">
      <w:pPr>
        <w:autoSpaceDE w:val="0"/>
        <w:autoSpaceDN w:val="0"/>
        <w:adjustRightInd w:val="0"/>
        <w:spacing w:after="0" w:line="360" w:lineRule="auto"/>
        <w:rPr>
          <w:rFonts w:cs="Arial"/>
          <w:color w:val="000000"/>
          <w:sz w:val="21"/>
          <w:szCs w:val="21"/>
        </w:rPr>
      </w:pPr>
      <w:r w:rsidRPr="00FE6AD0">
        <w:rPr>
          <w:rFonts w:cs="Arial"/>
          <w:b/>
          <w:bCs/>
          <w:color w:val="000000"/>
          <w:sz w:val="21"/>
          <w:szCs w:val="21"/>
        </w:rPr>
        <w:lastRenderedPageBreak/>
        <w:t xml:space="preserve">Wartość projektu po stronie Zamawiającego: </w:t>
      </w:r>
      <w:r w:rsidR="006B1D1C">
        <w:rPr>
          <w:rFonts w:cs="Arial"/>
          <w:color w:val="000000"/>
          <w:sz w:val="21"/>
          <w:szCs w:val="21"/>
        </w:rPr>
        <w:t>1 289 712</w:t>
      </w:r>
      <w:r w:rsidRPr="00FE6AD0">
        <w:rPr>
          <w:rFonts w:cs="Arial"/>
          <w:color w:val="000000"/>
          <w:sz w:val="21"/>
          <w:szCs w:val="21"/>
        </w:rPr>
        <w:t>,</w:t>
      </w:r>
      <w:r w:rsidR="006B1D1C">
        <w:rPr>
          <w:rFonts w:cs="Arial"/>
          <w:color w:val="000000"/>
          <w:sz w:val="21"/>
          <w:szCs w:val="21"/>
        </w:rPr>
        <w:t>9</w:t>
      </w:r>
      <w:r w:rsidRPr="00FE6AD0">
        <w:rPr>
          <w:rFonts w:cs="Arial"/>
          <w:color w:val="000000"/>
          <w:sz w:val="21"/>
          <w:szCs w:val="21"/>
        </w:rPr>
        <w:t xml:space="preserve">0 € </w:t>
      </w:r>
    </w:p>
    <w:p w14:paraId="13709D1F" w14:textId="77777777" w:rsidR="00E15B1C" w:rsidRDefault="00766007" w:rsidP="008B5281">
      <w:pPr>
        <w:autoSpaceDE w:val="0"/>
        <w:autoSpaceDN w:val="0"/>
        <w:adjustRightInd w:val="0"/>
        <w:spacing w:after="0" w:line="360" w:lineRule="auto"/>
        <w:rPr>
          <w:rFonts w:cs="Arial"/>
          <w:b/>
          <w:bCs/>
          <w:color w:val="000000"/>
          <w:sz w:val="21"/>
          <w:szCs w:val="21"/>
        </w:rPr>
      </w:pPr>
      <w:r>
        <w:rPr>
          <w:rFonts w:cs="Arial"/>
          <w:b/>
          <w:bCs/>
          <w:color w:val="000000"/>
          <w:sz w:val="21"/>
          <w:szCs w:val="21"/>
        </w:rPr>
        <w:t>Wydatki w ramach projektu</w:t>
      </w:r>
      <w:r w:rsidR="00FE6AD0" w:rsidRPr="00FE6AD0">
        <w:rPr>
          <w:rFonts w:cs="Arial"/>
          <w:b/>
          <w:bCs/>
          <w:color w:val="000000"/>
          <w:sz w:val="21"/>
          <w:szCs w:val="21"/>
        </w:rPr>
        <w:t xml:space="preserve">: </w:t>
      </w:r>
    </w:p>
    <w:p w14:paraId="61F8FF5B" w14:textId="590092D6" w:rsidR="00E15B1C" w:rsidRDefault="00E15B1C" w:rsidP="008B5281">
      <w:pPr>
        <w:autoSpaceDE w:val="0"/>
        <w:autoSpaceDN w:val="0"/>
        <w:adjustRightInd w:val="0"/>
        <w:spacing w:after="0" w:line="360" w:lineRule="auto"/>
        <w:rPr>
          <w:rFonts w:cs="Arial"/>
          <w:color w:val="000000"/>
          <w:sz w:val="21"/>
          <w:szCs w:val="21"/>
        </w:rPr>
      </w:pPr>
      <w:r w:rsidRPr="00EF2E6F">
        <w:rPr>
          <w:rFonts w:cs="Arial"/>
          <w:color w:val="000000"/>
          <w:sz w:val="21"/>
          <w:szCs w:val="21"/>
        </w:rPr>
        <w:t>-</w:t>
      </w:r>
      <w:r>
        <w:rPr>
          <w:rFonts w:cs="Arial"/>
          <w:b/>
          <w:bCs/>
          <w:color w:val="000000"/>
          <w:sz w:val="21"/>
          <w:szCs w:val="21"/>
        </w:rPr>
        <w:t xml:space="preserve"> </w:t>
      </w:r>
      <w:r w:rsidR="00FE6AD0" w:rsidRPr="00FE6AD0">
        <w:rPr>
          <w:rFonts w:cs="Arial"/>
          <w:color w:val="000000"/>
          <w:sz w:val="21"/>
          <w:szCs w:val="21"/>
        </w:rPr>
        <w:t>koszty personelu</w:t>
      </w:r>
      <w:r>
        <w:rPr>
          <w:rFonts w:cs="Arial"/>
          <w:color w:val="000000"/>
          <w:sz w:val="21"/>
          <w:szCs w:val="21"/>
        </w:rPr>
        <w:t xml:space="preserve"> (1,5 etatu</w:t>
      </w:r>
      <w:r w:rsidR="00EF2E6F">
        <w:rPr>
          <w:rFonts w:cs="Arial"/>
          <w:color w:val="000000"/>
          <w:sz w:val="21"/>
          <w:szCs w:val="21"/>
        </w:rPr>
        <w:t>)</w:t>
      </w:r>
      <w:r>
        <w:rPr>
          <w:rFonts w:cs="Arial"/>
          <w:color w:val="000000"/>
          <w:sz w:val="21"/>
          <w:szCs w:val="21"/>
        </w:rPr>
        <w:t xml:space="preserve">, </w:t>
      </w:r>
    </w:p>
    <w:p w14:paraId="3B56FFF7" w14:textId="5D0BA43A" w:rsidR="00E15B1C" w:rsidRDefault="00E15B1C" w:rsidP="008B5281">
      <w:pPr>
        <w:autoSpaceDE w:val="0"/>
        <w:autoSpaceDN w:val="0"/>
        <w:adjustRightInd w:val="0"/>
        <w:spacing w:after="0" w:line="360" w:lineRule="auto"/>
        <w:rPr>
          <w:rFonts w:cs="Arial"/>
          <w:color w:val="000000"/>
          <w:sz w:val="21"/>
          <w:szCs w:val="21"/>
        </w:rPr>
      </w:pPr>
      <w:r>
        <w:rPr>
          <w:rFonts w:cs="Arial"/>
          <w:color w:val="000000"/>
          <w:sz w:val="21"/>
          <w:szCs w:val="21"/>
        </w:rPr>
        <w:t xml:space="preserve">- </w:t>
      </w:r>
      <w:r w:rsidR="00EF2E6F">
        <w:rPr>
          <w:rFonts w:cs="Arial"/>
          <w:color w:val="000000"/>
          <w:sz w:val="21"/>
          <w:szCs w:val="21"/>
        </w:rPr>
        <w:t>działania promocyjne i informacyjne o projekcie</w:t>
      </w:r>
      <w:r w:rsidR="00766007">
        <w:rPr>
          <w:rFonts w:cs="Arial"/>
          <w:color w:val="000000"/>
          <w:sz w:val="21"/>
          <w:szCs w:val="21"/>
        </w:rPr>
        <w:t xml:space="preserve">, </w:t>
      </w:r>
    </w:p>
    <w:p w14:paraId="581E7301" w14:textId="6F59D29C" w:rsidR="00E15B1C" w:rsidRDefault="00E15B1C" w:rsidP="008B5281">
      <w:pPr>
        <w:autoSpaceDE w:val="0"/>
        <w:autoSpaceDN w:val="0"/>
        <w:adjustRightInd w:val="0"/>
        <w:spacing w:after="0" w:line="360" w:lineRule="auto"/>
        <w:rPr>
          <w:rFonts w:cs="Arial"/>
          <w:color w:val="000000"/>
          <w:sz w:val="21"/>
          <w:szCs w:val="21"/>
        </w:rPr>
      </w:pPr>
      <w:r>
        <w:rPr>
          <w:rFonts w:cs="Arial"/>
          <w:color w:val="000000"/>
          <w:sz w:val="21"/>
          <w:szCs w:val="21"/>
        </w:rPr>
        <w:t xml:space="preserve">- </w:t>
      </w:r>
      <w:r w:rsidR="00EF2E6F">
        <w:rPr>
          <w:rFonts w:cs="Arial"/>
          <w:color w:val="000000"/>
          <w:sz w:val="21"/>
          <w:szCs w:val="21"/>
        </w:rPr>
        <w:t>prace budowlane w budynku</w:t>
      </w:r>
      <w:r w:rsidR="00FE6AD0" w:rsidRPr="00FE6AD0">
        <w:rPr>
          <w:rFonts w:cs="Arial"/>
          <w:color w:val="000000"/>
          <w:sz w:val="21"/>
          <w:szCs w:val="21"/>
        </w:rPr>
        <w:t>,</w:t>
      </w:r>
    </w:p>
    <w:p w14:paraId="31FA1366" w14:textId="3C9A21BF" w:rsidR="00FE6AD0" w:rsidRPr="00FE6AD0" w:rsidRDefault="00E15B1C" w:rsidP="008B5281">
      <w:pPr>
        <w:autoSpaceDE w:val="0"/>
        <w:autoSpaceDN w:val="0"/>
        <w:adjustRightInd w:val="0"/>
        <w:spacing w:after="0" w:line="360" w:lineRule="auto"/>
        <w:rPr>
          <w:rFonts w:cs="Arial"/>
          <w:color w:val="000000"/>
          <w:sz w:val="21"/>
          <w:szCs w:val="21"/>
        </w:rPr>
      </w:pPr>
      <w:r>
        <w:rPr>
          <w:rFonts w:cs="Arial"/>
          <w:color w:val="000000"/>
          <w:sz w:val="21"/>
          <w:szCs w:val="21"/>
        </w:rPr>
        <w:t>-</w:t>
      </w:r>
      <w:r w:rsidR="00FE6AD0" w:rsidRPr="00FE6AD0">
        <w:rPr>
          <w:rFonts w:cs="Arial"/>
          <w:color w:val="000000"/>
          <w:sz w:val="21"/>
          <w:szCs w:val="21"/>
        </w:rPr>
        <w:t xml:space="preserve"> </w:t>
      </w:r>
      <w:r w:rsidR="00EF2E6F">
        <w:rPr>
          <w:rFonts w:cs="Arial"/>
          <w:color w:val="000000"/>
          <w:sz w:val="21"/>
          <w:szCs w:val="21"/>
        </w:rPr>
        <w:t>jedno wydarzenie</w:t>
      </w:r>
      <w:r w:rsidR="00FE6AD0" w:rsidRPr="00FE6AD0">
        <w:rPr>
          <w:rFonts w:cs="Arial"/>
          <w:color w:val="000000"/>
          <w:sz w:val="21"/>
          <w:szCs w:val="21"/>
        </w:rPr>
        <w:t xml:space="preserve">. </w:t>
      </w:r>
    </w:p>
    <w:p w14:paraId="2309D796" w14:textId="77777777" w:rsidR="00A15830" w:rsidRDefault="00A15830" w:rsidP="008B5281">
      <w:pPr>
        <w:autoSpaceDE w:val="0"/>
        <w:autoSpaceDN w:val="0"/>
        <w:adjustRightInd w:val="0"/>
        <w:spacing w:after="0" w:line="360" w:lineRule="auto"/>
        <w:rPr>
          <w:rFonts w:cs="Arial"/>
          <w:color w:val="000000"/>
          <w:sz w:val="21"/>
          <w:szCs w:val="21"/>
        </w:rPr>
      </w:pPr>
    </w:p>
    <w:p w14:paraId="61C6EC85" w14:textId="5279BB0E" w:rsidR="00FE6AD0" w:rsidRDefault="00FE6AD0" w:rsidP="008B5281">
      <w:pPr>
        <w:autoSpaceDE w:val="0"/>
        <w:autoSpaceDN w:val="0"/>
        <w:adjustRightInd w:val="0"/>
        <w:spacing w:after="0" w:line="360" w:lineRule="auto"/>
        <w:rPr>
          <w:rFonts w:cs="Arial"/>
          <w:color w:val="000000"/>
          <w:sz w:val="21"/>
          <w:szCs w:val="21"/>
        </w:rPr>
      </w:pPr>
      <w:r w:rsidRPr="00FE6AD0">
        <w:rPr>
          <w:rFonts w:cs="Arial"/>
          <w:color w:val="000000"/>
          <w:sz w:val="21"/>
          <w:szCs w:val="21"/>
        </w:rPr>
        <w:t xml:space="preserve">Zamawiający nie jest podmiotem prawa publicznego w rozumieniu przepisów krajowych oraz wspólnotowych. </w:t>
      </w:r>
    </w:p>
    <w:p w14:paraId="57AA3EFE" w14:textId="1203B284" w:rsidR="00FE6AD0" w:rsidRPr="00FE6AD0" w:rsidRDefault="00FE6AD0" w:rsidP="008B5281">
      <w:pPr>
        <w:autoSpaceDE w:val="0"/>
        <w:autoSpaceDN w:val="0"/>
        <w:adjustRightInd w:val="0"/>
        <w:spacing w:after="0" w:line="360" w:lineRule="auto"/>
        <w:rPr>
          <w:rFonts w:cs="Arial"/>
          <w:b/>
          <w:bCs/>
          <w:sz w:val="21"/>
          <w:szCs w:val="21"/>
        </w:rPr>
      </w:pPr>
      <w:r w:rsidRPr="00FE6AD0">
        <w:rPr>
          <w:rFonts w:cs="Arial"/>
          <w:b/>
          <w:bCs/>
          <w:color w:val="000000"/>
          <w:sz w:val="21"/>
          <w:szCs w:val="21"/>
        </w:rPr>
        <w:t>Językiem projektu jest język angielski.</w:t>
      </w:r>
    </w:p>
    <w:sectPr w:rsidR="00FE6AD0" w:rsidRPr="00FE6AD0" w:rsidSect="00081272">
      <w:headerReference w:type="default" r:id="rId11"/>
      <w:footerReference w:type="default" r:id="rId12"/>
      <w:type w:val="continuous"/>
      <w:pgSz w:w="11906" w:h="16838"/>
      <w:pgMar w:top="1418" w:right="1418" w:bottom="1418" w:left="1701" w:header="709"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C687" w14:textId="77777777" w:rsidR="00A62B0A" w:rsidRDefault="00A62B0A" w:rsidP="00A87BD3">
      <w:pPr>
        <w:spacing w:after="0" w:line="240" w:lineRule="auto"/>
      </w:pPr>
      <w:r>
        <w:separator/>
      </w:r>
    </w:p>
  </w:endnote>
  <w:endnote w:type="continuationSeparator" w:id="0">
    <w:p w14:paraId="4380DDC3" w14:textId="77777777" w:rsidR="00A62B0A" w:rsidRDefault="00A62B0A" w:rsidP="00A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0DA" w14:textId="23196585"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cs="Arial"/>
        <w:noProof/>
        <w:sz w:val="18"/>
        <w:szCs w:val="18"/>
        <w:lang w:eastAsia="pl-PL"/>
      </w:rPr>
      <w:t>Projekt „</w:t>
    </w:r>
    <w:r w:rsidR="00081272" w:rsidRPr="00081272">
      <w:rPr>
        <w:rFonts w:eastAsia="Times New Roman" w:cs="Arial"/>
        <w:color w:val="000000"/>
        <w:sz w:val="18"/>
        <w:szCs w:val="18"/>
        <w:lang w:eastAsia="pl-PL"/>
      </w:rPr>
      <w:t>SCENA GALICYJSKA –</w:t>
    </w:r>
    <w:r w:rsidR="00081272">
      <w:rPr>
        <w:rFonts w:eastAsia="Times New Roman" w:cs="Arial"/>
        <w:color w:val="000000"/>
        <w:sz w:val="18"/>
        <w:szCs w:val="18"/>
        <w:lang w:eastAsia="pl-PL"/>
      </w:rPr>
      <w:t xml:space="preserve"> </w:t>
    </w:r>
    <w:r w:rsidR="00081272" w:rsidRPr="00081272">
      <w:rPr>
        <w:rFonts w:eastAsia="Times New Roman" w:cs="Arial"/>
        <w:color w:val="000000"/>
        <w:sz w:val="18"/>
        <w:szCs w:val="18"/>
        <w:lang w:eastAsia="pl-PL"/>
      </w:rPr>
      <w:t>NASZA WSPÓLNA HISTORIA – Promocja kultury ukraińskiej i kultury polskiej w ramach współpracy Ośrodka Promocji Kultury Polskiej we Lwowie oraz Domu Ukraińskiego w Przemyślu”</w:t>
    </w:r>
    <w:r w:rsidRPr="00081272">
      <w:rPr>
        <w:rFonts w:cs="Arial"/>
        <w:noProof/>
        <w:sz w:val="18"/>
        <w:szCs w:val="18"/>
        <w:lang w:eastAsia="pl-PL"/>
      </w:rPr>
      <w:t xml:space="preserve"> finansowany ze środków </w:t>
    </w:r>
  </w:p>
  <w:p w14:paraId="72265536" w14:textId="77777777"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eastAsia="Times New Roman" w:cs="Arial"/>
        <w:color w:val="000000"/>
        <w:sz w:val="18"/>
        <w:szCs w:val="18"/>
        <w:lang w:eastAsia="ja-JP"/>
      </w:rPr>
      <w:t>Programu Współpracy Transgranicznej Polska-Białoruś-Ukraina 2014-2020</w:t>
    </w:r>
  </w:p>
  <w:p w14:paraId="439FE8EF" w14:textId="412BEEB8" w:rsidR="00F50C73" w:rsidRPr="00E01239" w:rsidRDefault="00F50C73" w:rsidP="00F50C73">
    <w:pPr>
      <w:autoSpaceDE w:val="0"/>
      <w:autoSpaceDN w:val="0"/>
      <w:adjustRightInd w:val="0"/>
      <w:spacing w:after="0" w:line="240" w:lineRule="auto"/>
      <w:jc w:val="center"/>
      <w:rPr>
        <w:rFonts w:asciiTheme="minorHAnsi" w:hAnsiTheme="minorHAnsi"/>
        <w:noProof/>
        <w:sz w:val="20"/>
        <w:szCs w:val="20"/>
        <w:lang w:eastAsia="pl-PL"/>
      </w:rPr>
    </w:pPr>
  </w:p>
  <w:p w14:paraId="5BA24054" w14:textId="77777777" w:rsidR="00F50C73" w:rsidRDefault="00F50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1BAA" w14:textId="77777777" w:rsidR="00A62B0A" w:rsidRDefault="00A62B0A" w:rsidP="00A87BD3">
      <w:pPr>
        <w:spacing w:after="0" w:line="240" w:lineRule="auto"/>
      </w:pPr>
      <w:r>
        <w:separator/>
      </w:r>
    </w:p>
  </w:footnote>
  <w:footnote w:type="continuationSeparator" w:id="0">
    <w:p w14:paraId="4705B6DA" w14:textId="77777777" w:rsidR="00A62B0A" w:rsidRDefault="00A62B0A" w:rsidP="00A8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B55" w14:textId="2E040EC0" w:rsidR="00E01239" w:rsidRDefault="00E66451" w:rsidP="00C67EB3">
    <w:pPr>
      <w:pStyle w:val="Nagwek"/>
    </w:pPr>
    <w:r w:rsidRPr="00F50C73">
      <w:rPr>
        <w:noProof/>
        <w:lang w:eastAsia="pl-PL"/>
      </w:rPr>
      <w:drawing>
        <wp:anchor distT="0" distB="0" distL="114300" distR="114300" simplePos="0" relativeHeight="251658240" behindDoc="1" locked="0" layoutInCell="1" allowOverlap="1" wp14:anchorId="1D25E3B2" wp14:editId="28055A76">
          <wp:simplePos x="0" y="0"/>
          <wp:positionH relativeFrom="column">
            <wp:posOffset>1012190</wp:posOffset>
          </wp:positionH>
          <wp:positionV relativeFrom="paragraph">
            <wp:posOffset>-66040</wp:posOffset>
          </wp:positionV>
          <wp:extent cx="575310" cy="387985"/>
          <wp:effectExtent l="0" t="0" r="0" b="0"/>
          <wp:wrapTight wrapText="bothSides">
            <wp:wrapPolygon edited="0">
              <wp:start x="0" y="0"/>
              <wp:lineTo x="0" y="20151"/>
              <wp:lineTo x="20742" y="20151"/>
              <wp:lineTo x="20742" y="0"/>
              <wp:lineTo x="0" y="0"/>
            </wp:wrapPolygon>
          </wp:wrapTight>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387985"/>
                  </a:xfrm>
                  <a:prstGeom prst="rect">
                    <a:avLst/>
                  </a:prstGeom>
                  <a:noFill/>
                </pic:spPr>
              </pic:pic>
            </a:graphicData>
          </a:graphic>
          <wp14:sizeRelH relativeFrom="page">
            <wp14:pctWidth>0</wp14:pctWidth>
          </wp14:sizeRelH>
          <wp14:sizeRelV relativeFrom="page">
            <wp14:pctHeight>0</wp14:pctHeight>
          </wp14:sizeRelV>
        </wp:anchor>
      </w:drawing>
    </w:r>
    <w:r w:rsidR="002A4E5C" w:rsidRPr="00F50C73">
      <w:rPr>
        <w:noProof/>
        <w:lang w:eastAsia="pl-PL"/>
      </w:rPr>
      <w:drawing>
        <wp:anchor distT="0" distB="0" distL="114300" distR="114300" simplePos="0" relativeHeight="251660288" behindDoc="1" locked="0" layoutInCell="1" allowOverlap="1" wp14:anchorId="0A0A4557" wp14:editId="1AF9A9D6">
          <wp:simplePos x="0" y="0"/>
          <wp:positionH relativeFrom="column">
            <wp:posOffset>4990465</wp:posOffset>
          </wp:positionH>
          <wp:positionV relativeFrom="paragraph">
            <wp:posOffset>-393065</wp:posOffset>
          </wp:positionV>
          <wp:extent cx="946150" cy="946150"/>
          <wp:effectExtent l="0" t="0" r="6350" b="6350"/>
          <wp:wrapTight wrapText="bothSides">
            <wp:wrapPolygon edited="0">
              <wp:start x="0" y="0"/>
              <wp:lineTo x="0" y="21310"/>
              <wp:lineTo x="21310" y="21310"/>
              <wp:lineTo x="21310" y="0"/>
              <wp:lineTo x="0" y="0"/>
            </wp:wrapPolygon>
          </wp:wrapTight>
          <wp:docPr id="671" name="Obraz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Obraz 67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781" w:rsidRPr="00F50C73">
      <w:rPr>
        <w:noProof/>
        <w:lang w:eastAsia="pl-PL"/>
      </w:rPr>
      <w:drawing>
        <wp:anchor distT="0" distB="0" distL="114300" distR="114300" simplePos="0" relativeHeight="251656192" behindDoc="1" locked="0" layoutInCell="1" allowOverlap="1" wp14:anchorId="635067B6" wp14:editId="1E05D7CE">
          <wp:simplePos x="0" y="0"/>
          <wp:positionH relativeFrom="column">
            <wp:posOffset>-127000</wp:posOffset>
          </wp:positionH>
          <wp:positionV relativeFrom="paragraph">
            <wp:posOffset>-286385</wp:posOffset>
          </wp:positionV>
          <wp:extent cx="1183640" cy="666750"/>
          <wp:effectExtent l="0" t="0" r="0" b="0"/>
          <wp:wrapTight wrapText="bothSides">
            <wp:wrapPolygon edited="0">
              <wp:start x="0" y="0"/>
              <wp:lineTo x="0" y="20983"/>
              <wp:lineTo x="21206" y="20983"/>
              <wp:lineTo x="21206" y="0"/>
              <wp:lineTo x="0" y="0"/>
            </wp:wrapPolygon>
          </wp:wrapTight>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0454"/>
                  <a:stretch/>
                </pic:blipFill>
                <pic:spPr bwMode="auto">
                  <a:xfrm>
                    <a:off x="0" y="0"/>
                    <a:ext cx="11836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824">
      <w:t xml:space="preserve">  </w:t>
    </w:r>
    <w:r w:rsidR="00395405">
      <w:t xml:space="preserve"> </w:t>
    </w:r>
    <w:r w:rsidR="00F80824">
      <w:t xml:space="preserve">         </w:t>
    </w:r>
    <w:r w:rsidR="00C67EB3">
      <w:t xml:space="preserve">                                              </w:t>
    </w:r>
    <w:r w:rsidR="00F80824">
      <w:t xml:space="preserve">                            </w:t>
    </w:r>
    <w:r w:rsidR="00C67EB3">
      <w:t xml:space="preserve">   </w:t>
    </w:r>
  </w:p>
  <w:p w14:paraId="7C0CDB68" w14:textId="742B9500" w:rsidR="00C67EB3" w:rsidRDefault="00C67EB3" w:rsidP="00C67EB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2F"/>
    <w:multiLevelType w:val="hybridMultilevel"/>
    <w:tmpl w:val="C9B0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39FF"/>
    <w:multiLevelType w:val="hybridMultilevel"/>
    <w:tmpl w:val="3E468C0E"/>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554"/>
    <w:multiLevelType w:val="hybridMultilevel"/>
    <w:tmpl w:val="C7FC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51779"/>
    <w:multiLevelType w:val="hybridMultilevel"/>
    <w:tmpl w:val="1A6E62C8"/>
    <w:lvl w:ilvl="0" w:tplc="04150019">
      <w:start w:val="1"/>
      <w:numFmt w:val="lowerLetter"/>
      <w:lvlText w:val="%1."/>
      <w:lvlJc w:val="left"/>
      <w:pPr>
        <w:ind w:left="720" w:hanging="360"/>
      </w:pPr>
    </w:lvl>
    <w:lvl w:ilvl="1" w:tplc="124C4778">
      <w:start w:val="1"/>
      <w:numFmt w:val="bullet"/>
      <w:lvlText w:val="─"/>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406"/>
    <w:multiLevelType w:val="hybridMultilevel"/>
    <w:tmpl w:val="F7B4396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65A59"/>
    <w:multiLevelType w:val="hybridMultilevel"/>
    <w:tmpl w:val="E314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5F44CF"/>
    <w:multiLevelType w:val="hybridMultilevel"/>
    <w:tmpl w:val="1B6E9ED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61FFA"/>
    <w:multiLevelType w:val="hybridMultilevel"/>
    <w:tmpl w:val="06462C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DF18DB"/>
    <w:multiLevelType w:val="hybridMultilevel"/>
    <w:tmpl w:val="59F4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3E58A5"/>
    <w:multiLevelType w:val="hybridMultilevel"/>
    <w:tmpl w:val="1B1C43F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22AC0"/>
    <w:multiLevelType w:val="hybridMultilevel"/>
    <w:tmpl w:val="6E0A0B6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301852CB"/>
    <w:multiLevelType w:val="hybridMultilevel"/>
    <w:tmpl w:val="FB9A0D38"/>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A2F37"/>
    <w:multiLevelType w:val="hybridMultilevel"/>
    <w:tmpl w:val="028C00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25930E3"/>
    <w:multiLevelType w:val="hybridMultilevel"/>
    <w:tmpl w:val="3D8A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A5478"/>
    <w:multiLevelType w:val="hybridMultilevel"/>
    <w:tmpl w:val="57BC46B8"/>
    <w:lvl w:ilvl="0" w:tplc="6158FE96">
      <w:start w:val="1"/>
      <w:numFmt w:val="decimal"/>
      <w:lvlText w:val="%1."/>
      <w:lvlJc w:val="left"/>
      <w:pPr>
        <w:ind w:left="360" w:hanging="360"/>
      </w:pPr>
      <w:rPr>
        <w:rFonts w:asciiTheme="minorHAnsi" w:hAnsiTheme="minorHAnsi" w:cs="Times New Roman"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A3AA7"/>
    <w:multiLevelType w:val="hybridMultilevel"/>
    <w:tmpl w:val="C4D6E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967D6F"/>
    <w:multiLevelType w:val="hybridMultilevel"/>
    <w:tmpl w:val="7F5A32A2"/>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6288A"/>
    <w:multiLevelType w:val="hybridMultilevel"/>
    <w:tmpl w:val="F5C8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80749"/>
    <w:multiLevelType w:val="multilevel"/>
    <w:tmpl w:val="7BFCF6F0"/>
    <w:lvl w:ilvl="0">
      <w:start w:val="1"/>
      <w:numFmt w:val="decimal"/>
      <w:lvlText w:val="%1."/>
      <w:lvlJc w:val="left"/>
      <w:pPr>
        <w:tabs>
          <w:tab w:val="num" w:pos="720"/>
        </w:tabs>
        <w:ind w:left="720" w:hanging="360"/>
      </w:pPr>
      <w:rPr>
        <w:rFonts w:asciiTheme="minorHAnsi" w:eastAsiaTheme="minorEastAsia" w:hAnsiTheme="minorHAnsi" w:cstheme="minorBidi"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8CE226F"/>
    <w:multiLevelType w:val="hybridMultilevel"/>
    <w:tmpl w:val="309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3112E"/>
    <w:multiLevelType w:val="hybridMultilevel"/>
    <w:tmpl w:val="86026818"/>
    <w:lvl w:ilvl="0" w:tplc="0415000F">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3" w15:restartNumberingAfterBreak="0">
    <w:nsid w:val="62F22C43"/>
    <w:multiLevelType w:val="hybridMultilevel"/>
    <w:tmpl w:val="12827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87310E"/>
    <w:multiLevelType w:val="hybridMultilevel"/>
    <w:tmpl w:val="76FADA5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CA2F24"/>
    <w:multiLevelType w:val="hybridMultilevel"/>
    <w:tmpl w:val="1F88EB88"/>
    <w:lvl w:ilvl="0" w:tplc="6A2A553C">
      <w:start w:val="1"/>
      <w:numFmt w:val="decimal"/>
      <w:lvlText w:val="%1."/>
      <w:lvlJc w:val="left"/>
      <w:pPr>
        <w:ind w:left="360" w:hanging="360"/>
      </w:pPr>
      <w:rPr>
        <w:rFonts w:asciiTheme="minorHAnsi" w:eastAsiaTheme="minorEastAsia" w:hAnsiTheme="minorHAnsi" w:cstheme="minorBid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EF57C5"/>
    <w:multiLevelType w:val="hybridMultilevel"/>
    <w:tmpl w:val="C36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B1A31"/>
    <w:multiLevelType w:val="hybridMultilevel"/>
    <w:tmpl w:val="8FF8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CB7598"/>
    <w:multiLevelType w:val="hybridMultilevel"/>
    <w:tmpl w:val="3D94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93B1E3F"/>
    <w:multiLevelType w:val="hybridMultilevel"/>
    <w:tmpl w:val="6E4492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447A04"/>
    <w:multiLevelType w:val="multilevel"/>
    <w:tmpl w:val="322072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E1500"/>
    <w:multiLevelType w:val="hybridMultilevel"/>
    <w:tmpl w:val="4AD40288"/>
    <w:lvl w:ilvl="0" w:tplc="933E4E9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A55044"/>
    <w:multiLevelType w:val="hybridMultilevel"/>
    <w:tmpl w:val="4762C8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A2C75"/>
    <w:multiLevelType w:val="hybridMultilevel"/>
    <w:tmpl w:val="84CCF9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CEE7F8D"/>
    <w:multiLevelType w:val="hybridMultilevel"/>
    <w:tmpl w:val="46D4C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B3068"/>
    <w:multiLevelType w:val="hybridMultilevel"/>
    <w:tmpl w:val="91B419C0"/>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7099945">
    <w:abstractNumId w:val="6"/>
  </w:num>
  <w:num w:numId="2" w16cid:durableId="17591303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25064">
    <w:abstractNumId w:val="15"/>
  </w:num>
  <w:num w:numId="4" w16cid:durableId="480271066">
    <w:abstractNumId w:val="20"/>
  </w:num>
  <w:num w:numId="5" w16cid:durableId="166484430">
    <w:abstractNumId w:val="28"/>
  </w:num>
  <w:num w:numId="6" w16cid:durableId="1240482952">
    <w:abstractNumId w:val="27"/>
  </w:num>
  <w:num w:numId="7" w16cid:durableId="1641114188">
    <w:abstractNumId w:val="25"/>
  </w:num>
  <w:num w:numId="8" w16cid:durableId="33165435">
    <w:abstractNumId w:val="31"/>
  </w:num>
  <w:num w:numId="9" w16cid:durableId="1292176324">
    <w:abstractNumId w:val="19"/>
  </w:num>
  <w:num w:numId="10" w16cid:durableId="2070422447">
    <w:abstractNumId w:val="22"/>
  </w:num>
  <w:num w:numId="11" w16cid:durableId="717365343">
    <w:abstractNumId w:val="14"/>
  </w:num>
  <w:num w:numId="12" w16cid:durableId="298802902">
    <w:abstractNumId w:val="16"/>
  </w:num>
  <w:num w:numId="13" w16cid:durableId="411589772">
    <w:abstractNumId w:val="33"/>
  </w:num>
  <w:num w:numId="14" w16cid:durableId="1757166906">
    <w:abstractNumId w:val="12"/>
  </w:num>
  <w:num w:numId="15" w16cid:durableId="1902405987">
    <w:abstractNumId w:val="17"/>
  </w:num>
  <w:num w:numId="16" w16cid:durableId="1816020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2267254">
    <w:abstractNumId w:val="21"/>
  </w:num>
  <w:num w:numId="18" w16cid:durableId="1824736499">
    <w:abstractNumId w:val="13"/>
  </w:num>
  <w:num w:numId="19" w16cid:durableId="761413631">
    <w:abstractNumId w:val="35"/>
  </w:num>
  <w:num w:numId="20" w16cid:durableId="266159472">
    <w:abstractNumId w:val="2"/>
  </w:num>
  <w:num w:numId="21" w16cid:durableId="1891115632">
    <w:abstractNumId w:val="5"/>
  </w:num>
  <w:num w:numId="22" w16cid:durableId="676075464">
    <w:abstractNumId w:val="11"/>
  </w:num>
  <w:num w:numId="23" w16cid:durableId="219363685">
    <w:abstractNumId w:val="3"/>
  </w:num>
  <w:num w:numId="24" w16cid:durableId="1877766441">
    <w:abstractNumId w:val="0"/>
  </w:num>
  <w:num w:numId="25" w16cid:durableId="771509933">
    <w:abstractNumId w:val="32"/>
  </w:num>
  <w:num w:numId="26" w16cid:durableId="2119176631">
    <w:abstractNumId w:val="34"/>
  </w:num>
  <w:num w:numId="27" w16cid:durableId="1631593312">
    <w:abstractNumId w:val="4"/>
  </w:num>
  <w:num w:numId="28" w16cid:durableId="1455061089">
    <w:abstractNumId w:val="9"/>
  </w:num>
  <w:num w:numId="29" w16cid:durableId="492575019">
    <w:abstractNumId w:val="1"/>
  </w:num>
  <w:num w:numId="30" w16cid:durableId="863716148">
    <w:abstractNumId w:val="29"/>
  </w:num>
  <w:num w:numId="31" w16cid:durableId="1114787714">
    <w:abstractNumId w:val="8"/>
  </w:num>
  <w:num w:numId="32" w16cid:durableId="1390150479">
    <w:abstractNumId w:val="24"/>
  </w:num>
  <w:num w:numId="33" w16cid:durableId="339284357">
    <w:abstractNumId w:val="18"/>
  </w:num>
  <w:num w:numId="34" w16cid:durableId="1964533498">
    <w:abstractNumId w:val="10"/>
  </w:num>
  <w:num w:numId="35" w16cid:durableId="596135118">
    <w:abstractNumId w:val="7"/>
  </w:num>
  <w:num w:numId="36" w16cid:durableId="1235117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D3"/>
    <w:rsid w:val="000023E1"/>
    <w:rsid w:val="000112C1"/>
    <w:rsid w:val="00020CD9"/>
    <w:rsid w:val="0002459E"/>
    <w:rsid w:val="0003036F"/>
    <w:rsid w:val="00036CD7"/>
    <w:rsid w:val="00057725"/>
    <w:rsid w:val="00070A31"/>
    <w:rsid w:val="000735AA"/>
    <w:rsid w:val="0007780E"/>
    <w:rsid w:val="00081272"/>
    <w:rsid w:val="000864FA"/>
    <w:rsid w:val="00093820"/>
    <w:rsid w:val="000B2C1E"/>
    <w:rsid w:val="000B4C80"/>
    <w:rsid w:val="000C3824"/>
    <w:rsid w:val="000C6D0D"/>
    <w:rsid w:val="000D3769"/>
    <w:rsid w:val="000D69CF"/>
    <w:rsid w:val="000E4DF0"/>
    <w:rsid w:val="000F377F"/>
    <w:rsid w:val="000F5FE3"/>
    <w:rsid w:val="00112398"/>
    <w:rsid w:val="00113CB1"/>
    <w:rsid w:val="00115B81"/>
    <w:rsid w:val="001179EC"/>
    <w:rsid w:val="0013309E"/>
    <w:rsid w:val="001406F0"/>
    <w:rsid w:val="001555DB"/>
    <w:rsid w:val="0015738F"/>
    <w:rsid w:val="001605F1"/>
    <w:rsid w:val="00174312"/>
    <w:rsid w:val="00175B05"/>
    <w:rsid w:val="001772CC"/>
    <w:rsid w:val="001953F9"/>
    <w:rsid w:val="001A6A99"/>
    <w:rsid w:val="001B4C14"/>
    <w:rsid w:val="001C00EC"/>
    <w:rsid w:val="001C692B"/>
    <w:rsid w:val="001D2B25"/>
    <w:rsid w:val="001D4FDC"/>
    <w:rsid w:val="001E1F43"/>
    <w:rsid w:val="00206A17"/>
    <w:rsid w:val="00220B10"/>
    <w:rsid w:val="00234290"/>
    <w:rsid w:val="002368DC"/>
    <w:rsid w:val="0024076C"/>
    <w:rsid w:val="00246FEC"/>
    <w:rsid w:val="002504F0"/>
    <w:rsid w:val="002533F4"/>
    <w:rsid w:val="00254C52"/>
    <w:rsid w:val="00256B21"/>
    <w:rsid w:val="0027000F"/>
    <w:rsid w:val="0027168C"/>
    <w:rsid w:val="00282425"/>
    <w:rsid w:val="002829A5"/>
    <w:rsid w:val="00284B55"/>
    <w:rsid w:val="002926C4"/>
    <w:rsid w:val="002A4E5C"/>
    <w:rsid w:val="002B3879"/>
    <w:rsid w:val="002C06F6"/>
    <w:rsid w:val="002C47C1"/>
    <w:rsid w:val="002D56AD"/>
    <w:rsid w:val="002E2D0A"/>
    <w:rsid w:val="002F657E"/>
    <w:rsid w:val="002F6E68"/>
    <w:rsid w:val="00322FCF"/>
    <w:rsid w:val="00331526"/>
    <w:rsid w:val="00347564"/>
    <w:rsid w:val="00350907"/>
    <w:rsid w:val="0035395C"/>
    <w:rsid w:val="00377669"/>
    <w:rsid w:val="003911FA"/>
    <w:rsid w:val="00392264"/>
    <w:rsid w:val="00395405"/>
    <w:rsid w:val="00395C74"/>
    <w:rsid w:val="003B6508"/>
    <w:rsid w:val="003D09C6"/>
    <w:rsid w:val="003F367F"/>
    <w:rsid w:val="00401668"/>
    <w:rsid w:val="004305E1"/>
    <w:rsid w:val="00433BAB"/>
    <w:rsid w:val="00434C7C"/>
    <w:rsid w:val="00440DAE"/>
    <w:rsid w:val="00441CF5"/>
    <w:rsid w:val="00442421"/>
    <w:rsid w:val="00443FEC"/>
    <w:rsid w:val="00452554"/>
    <w:rsid w:val="0045469C"/>
    <w:rsid w:val="0045740B"/>
    <w:rsid w:val="0047297E"/>
    <w:rsid w:val="0047634F"/>
    <w:rsid w:val="00477784"/>
    <w:rsid w:val="004B6D13"/>
    <w:rsid w:val="004B7C95"/>
    <w:rsid w:val="004C7813"/>
    <w:rsid w:val="004D1872"/>
    <w:rsid w:val="004D5733"/>
    <w:rsid w:val="004E084E"/>
    <w:rsid w:val="004E0982"/>
    <w:rsid w:val="005268C0"/>
    <w:rsid w:val="00534481"/>
    <w:rsid w:val="00537D81"/>
    <w:rsid w:val="005445D5"/>
    <w:rsid w:val="005611D0"/>
    <w:rsid w:val="005626F1"/>
    <w:rsid w:val="00562C49"/>
    <w:rsid w:val="005662B7"/>
    <w:rsid w:val="00591AA6"/>
    <w:rsid w:val="005A2C47"/>
    <w:rsid w:val="005B08D6"/>
    <w:rsid w:val="005B3C98"/>
    <w:rsid w:val="005D089E"/>
    <w:rsid w:val="00601249"/>
    <w:rsid w:val="006111C9"/>
    <w:rsid w:val="00613CD1"/>
    <w:rsid w:val="006211EF"/>
    <w:rsid w:val="006403E7"/>
    <w:rsid w:val="00640779"/>
    <w:rsid w:val="0064760C"/>
    <w:rsid w:val="0065199D"/>
    <w:rsid w:val="006603E5"/>
    <w:rsid w:val="00676353"/>
    <w:rsid w:val="00682056"/>
    <w:rsid w:val="00693778"/>
    <w:rsid w:val="00694B73"/>
    <w:rsid w:val="006A567C"/>
    <w:rsid w:val="006B1D1C"/>
    <w:rsid w:val="006B2269"/>
    <w:rsid w:val="006B422C"/>
    <w:rsid w:val="006D0DE2"/>
    <w:rsid w:val="006E173A"/>
    <w:rsid w:val="006F424E"/>
    <w:rsid w:val="006F49A5"/>
    <w:rsid w:val="006F7E20"/>
    <w:rsid w:val="00704AD4"/>
    <w:rsid w:val="007113A9"/>
    <w:rsid w:val="00712A04"/>
    <w:rsid w:val="00717BA6"/>
    <w:rsid w:val="00727986"/>
    <w:rsid w:val="007309A3"/>
    <w:rsid w:val="00750E4D"/>
    <w:rsid w:val="007620D9"/>
    <w:rsid w:val="00765C8A"/>
    <w:rsid w:val="00766007"/>
    <w:rsid w:val="0076658F"/>
    <w:rsid w:val="007A056A"/>
    <w:rsid w:val="007B5336"/>
    <w:rsid w:val="007C029E"/>
    <w:rsid w:val="007C0345"/>
    <w:rsid w:val="007C0926"/>
    <w:rsid w:val="007D23FD"/>
    <w:rsid w:val="007D251E"/>
    <w:rsid w:val="007E4165"/>
    <w:rsid w:val="007F1C73"/>
    <w:rsid w:val="007F4317"/>
    <w:rsid w:val="00806DB7"/>
    <w:rsid w:val="0081066A"/>
    <w:rsid w:val="00821C1A"/>
    <w:rsid w:val="00827639"/>
    <w:rsid w:val="008314A3"/>
    <w:rsid w:val="00836CE3"/>
    <w:rsid w:val="00840090"/>
    <w:rsid w:val="00840167"/>
    <w:rsid w:val="00840B93"/>
    <w:rsid w:val="008435CF"/>
    <w:rsid w:val="00847634"/>
    <w:rsid w:val="00854BD3"/>
    <w:rsid w:val="00882869"/>
    <w:rsid w:val="00882953"/>
    <w:rsid w:val="0088434D"/>
    <w:rsid w:val="00887770"/>
    <w:rsid w:val="00890F7C"/>
    <w:rsid w:val="00897374"/>
    <w:rsid w:val="008A663A"/>
    <w:rsid w:val="008A73B7"/>
    <w:rsid w:val="008B4B68"/>
    <w:rsid w:val="008B5281"/>
    <w:rsid w:val="008C356E"/>
    <w:rsid w:val="008C4231"/>
    <w:rsid w:val="0090385D"/>
    <w:rsid w:val="00907265"/>
    <w:rsid w:val="00913758"/>
    <w:rsid w:val="00914457"/>
    <w:rsid w:val="00922D07"/>
    <w:rsid w:val="00923C31"/>
    <w:rsid w:val="009339FB"/>
    <w:rsid w:val="00935D79"/>
    <w:rsid w:val="009360A1"/>
    <w:rsid w:val="009402BD"/>
    <w:rsid w:val="00945429"/>
    <w:rsid w:val="00950F7C"/>
    <w:rsid w:val="009667DA"/>
    <w:rsid w:val="00971C9D"/>
    <w:rsid w:val="00975046"/>
    <w:rsid w:val="009764BD"/>
    <w:rsid w:val="00977680"/>
    <w:rsid w:val="00977877"/>
    <w:rsid w:val="009811E9"/>
    <w:rsid w:val="00986F9C"/>
    <w:rsid w:val="009923BF"/>
    <w:rsid w:val="0099725E"/>
    <w:rsid w:val="009A3B74"/>
    <w:rsid w:val="009A73F5"/>
    <w:rsid w:val="009B2639"/>
    <w:rsid w:val="009C407F"/>
    <w:rsid w:val="009D10C5"/>
    <w:rsid w:val="009D6D00"/>
    <w:rsid w:val="009F099C"/>
    <w:rsid w:val="009F3455"/>
    <w:rsid w:val="00A04816"/>
    <w:rsid w:val="00A15830"/>
    <w:rsid w:val="00A322D7"/>
    <w:rsid w:val="00A34700"/>
    <w:rsid w:val="00A47849"/>
    <w:rsid w:val="00A54F5A"/>
    <w:rsid w:val="00A55412"/>
    <w:rsid w:val="00A618B4"/>
    <w:rsid w:val="00A62B0A"/>
    <w:rsid w:val="00A66F0D"/>
    <w:rsid w:val="00A6722A"/>
    <w:rsid w:val="00A73296"/>
    <w:rsid w:val="00A73D8E"/>
    <w:rsid w:val="00A87452"/>
    <w:rsid w:val="00A87BD3"/>
    <w:rsid w:val="00AA0279"/>
    <w:rsid w:val="00AA33AF"/>
    <w:rsid w:val="00AB1FF6"/>
    <w:rsid w:val="00AB4D56"/>
    <w:rsid w:val="00AB5464"/>
    <w:rsid w:val="00AE4986"/>
    <w:rsid w:val="00AF3A41"/>
    <w:rsid w:val="00AF4A8E"/>
    <w:rsid w:val="00AF4F2E"/>
    <w:rsid w:val="00B049C0"/>
    <w:rsid w:val="00B051BD"/>
    <w:rsid w:val="00B10777"/>
    <w:rsid w:val="00B14630"/>
    <w:rsid w:val="00B16221"/>
    <w:rsid w:val="00B24D13"/>
    <w:rsid w:val="00B377BE"/>
    <w:rsid w:val="00B46CF4"/>
    <w:rsid w:val="00B50F04"/>
    <w:rsid w:val="00B50FEC"/>
    <w:rsid w:val="00B53106"/>
    <w:rsid w:val="00B71929"/>
    <w:rsid w:val="00B73A4D"/>
    <w:rsid w:val="00B7519B"/>
    <w:rsid w:val="00B754DE"/>
    <w:rsid w:val="00B76B3D"/>
    <w:rsid w:val="00B81D92"/>
    <w:rsid w:val="00B836F8"/>
    <w:rsid w:val="00BB1623"/>
    <w:rsid w:val="00BE1917"/>
    <w:rsid w:val="00C276B3"/>
    <w:rsid w:val="00C41CAF"/>
    <w:rsid w:val="00C4578E"/>
    <w:rsid w:val="00C45C62"/>
    <w:rsid w:val="00C5085B"/>
    <w:rsid w:val="00C57BFB"/>
    <w:rsid w:val="00C65B78"/>
    <w:rsid w:val="00C67EB3"/>
    <w:rsid w:val="00C7338B"/>
    <w:rsid w:val="00C8481E"/>
    <w:rsid w:val="00CA2F26"/>
    <w:rsid w:val="00CA7B09"/>
    <w:rsid w:val="00CB17B0"/>
    <w:rsid w:val="00CB40E1"/>
    <w:rsid w:val="00CB78B4"/>
    <w:rsid w:val="00CC0AC3"/>
    <w:rsid w:val="00CC303E"/>
    <w:rsid w:val="00CE6DF7"/>
    <w:rsid w:val="00CE75BA"/>
    <w:rsid w:val="00D02ADF"/>
    <w:rsid w:val="00D03114"/>
    <w:rsid w:val="00D0441A"/>
    <w:rsid w:val="00D06FCF"/>
    <w:rsid w:val="00D17A11"/>
    <w:rsid w:val="00D23981"/>
    <w:rsid w:val="00D2608F"/>
    <w:rsid w:val="00D369EF"/>
    <w:rsid w:val="00D4047C"/>
    <w:rsid w:val="00D45DFB"/>
    <w:rsid w:val="00D501C9"/>
    <w:rsid w:val="00D561A4"/>
    <w:rsid w:val="00D57231"/>
    <w:rsid w:val="00D731E0"/>
    <w:rsid w:val="00D921F2"/>
    <w:rsid w:val="00D9768D"/>
    <w:rsid w:val="00DA513D"/>
    <w:rsid w:val="00DB02F9"/>
    <w:rsid w:val="00DB6794"/>
    <w:rsid w:val="00E00074"/>
    <w:rsid w:val="00E01239"/>
    <w:rsid w:val="00E016D0"/>
    <w:rsid w:val="00E03867"/>
    <w:rsid w:val="00E068D7"/>
    <w:rsid w:val="00E15B1C"/>
    <w:rsid w:val="00E16758"/>
    <w:rsid w:val="00E175AC"/>
    <w:rsid w:val="00E17915"/>
    <w:rsid w:val="00E2792A"/>
    <w:rsid w:val="00E30FF9"/>
    <w:rsid w:val="00E441B2"/>
    <w:rsid w:val="00E53DFA"/>
    <w:rsid w:val="00E616D0"/>
    <w:rsid w:val="00E66451"/>
    <w:rsid w:val="00E664AF"/>
    <w:rsid w:val="00E70EC8"/>
    <w:rsid w:val="00E7506E"/>
    <w:rsid w:val="00E77440"/>
    <w:rsid w:val="00E85946"/>
    <w:rsid w:val="00E910F1"/>
    <w:rsid w:val="00E93781"/>
    <w:rsid w:val="00E97F3F"/>
    <w:rsid w:val="00EA1353"/>
    <w:rsid w:val="00EA50F6"/>
    <w:rsid w:val="00EC3910"/>
    <w:rsid w:val="00ED69E0"/>
    <w:rsid w:val="00ED7F48"/>
    <w:rsid w:val="00EF272A"/>
    <w:rsid w:val="00EF2E6F"/>
    <w:rsid w:val="00EF6C24"/>
    <w:rsid w:val="00F010F9"/>
    <w:rsid w:val="00F019C6"/>
    <w:rsid w:val="00F3688F"/>
    <w:rsid w:val="00F4094F"/>
    <w:rsid w:val="00F46BA0"/>
    <w:rsid w:val="00F46DD1"/>
    <w:rsid w:val="00F50C73"/>
    <w:rsid w:val="00F6478C"/>
    <w:rsid w:val="00F80824"/>
    <w:rsid w:val="00F862D7"/>
    <w:rsid w:val="00F86FC0"/>
    <w:rsid w:val="00F941A5"/>
    <w:rsid w:val="00F949F2"/>
    <w:rsid w:val="00FA6E52"/>
    <w:rsid w:val="00FB4399"/>
    <w:rsid w:val="00FB6A7D"/>
    <w:rsid w:val="00FC26D4"/>
    <w:rsid w:val="00FD67E0"/>
    <w:rsid w:val="00FE5AC4"/>
    <w:rsid w:val="00FE6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5A50"/>
  <w15:docId w15:val="{FF8D58F3-4099-444B-ACE7-7087ECA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D3"/>
    <w:rPr>
      <w:rFonts w:ascii="Tahoma" w:hAnsi="Tahoma" w:cs="Tahoma"/>
      <w:sz w:val="16"/>
      <w:szCs w:val="16"/>
    </w:rPr>
  </w:style>
  <w:style w:type="paragraph" w:styleId="Nagwek">
    <w:name w:val="header"/>
    <w:basedOn w:val="Normalny"/>
    <w:link w:val="NagwekZnak"/>
    <w:uiPriority w:val="99"/>
    <w:unhideWhenUsed/>
    <w:rsid w:val="00A87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BD3"/>
  </w:style>
  <w:style w:type="paragraph" w:styleId="Stopka">
    <w:name w:val="footer"/>
    <w:basedOn w:val="Normalny"/>
    <w:link w:val="StopkaZnak"/>
    <w:uiPriority w:val="99"/>
    <w:unhideWhenUsed/>
    <w:rsid w:val="00A87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D3"/>
  </w:style>
  <w:style w:type="character" w:styleId="Odwoaniedokomentarza">
    <w:name w:val="annotation reference"/>
    <w:basedOn w:val="Domylnaczcionkaakapitu"/>
    <w:uiPriority w:val="99"/>
    <w:semiHidden/>
    <w:unhideWhenUsed/>
    <w:rsid w:val="00854BD3"/>
    <w:rPr>
      <w:sz w:val="16"/>
      <w:szCs w:val="16"/>
    </w:rPr>
  </w:style>
  <w:style w:type="paragraph" w:styleId="Tekstkomentarza">
    <w:name w:val="annotation text"/>
    <w:basedOn w:val="Normalny"/>
    <w:link w:val="TekstkomentarzaZnak"/>
    <w:uiPriority w:val="99"/>
    <w:unhideWhenUsed/>
    <w:rsid w:val="00854BD3"/>
    <w:pPr>
      <w:spacing w:line="240" w:lineRule="auto"/>
    </w:pPr>
    <w:rPr>
      <w:sz w:val="20"/>
      <w:szCs w:val="20"/>
    </w:rPr>
  </w:style>
  <w:style w:type="character" w:customStyle="1" w:styleId="TekstkomentarzaZnak">
    <w:name w:val="Tekst komentarza Znak"/>
    <w:basedOn w:val="Domylnaczcionkaakapitu"/>
    <w:link w:val="Tekstkomentarza"/>
    <w:uiPriority w:val="99"/>
    <w:rsid w:val="00854BD3"/>
    <w:rPr>
      <w:sz w:val="20"/>
      <w:szCs w:val="20"/>
    </w:rPr>
  </w:style>
  <w:style w:type="paragraph" w:styleId="Tematkomentarza">
    <w:name w:val="annotation subject"/>
    <w:basedOn w:val="Tekstkomentarza"/>
    <w:next w:val="Tekstkomentarza"/>
    <w:link w:val="TematkomentarzaZnak"/>
    <w:uiPriority w:val="99"/>
    <w:semiHidden/>
    <w:unhideWhenUsed/>
    <w:rsid w:val="00854BD3"/>
    <w:rPr>
      <w:b/>
      <w:bCs/>
    </w:rPr>
  </w:style>
  <w:style w:type="character" w:customStyle="1" w:styleId="TematkomentarzaZnak">
    <w:name w:val="Temat komentarza Znak"/>
    <w:basedOn w:val="TekstkomentarzaZnak"/>
    <w:link w:val="Tematkomentarza"/>
    <w:uiPriority w:val="99"/>
    <w:semiHidden/>
    <w:rsid w:val="00854BD3"/>
    <w:rPr>
      <w:b/>
      <w:bCs/>
      <w:sz w:val="20"/>
      <w:szCs w:val="20"/>
    </w:rPr>
  </w:style>
  <w:style w:type="character" w:customStyle="1" w:styleId="shorttext">
    <w:name w:val="short_text"/>
    <w:basedOn w:val="Domylnaczcionkaakapitu"/>
    <w:rsid w:val="00331526"/>
  </w:style>
  <w:style w:type="character" w:customStyle="1" w:styleId="hps">
    <w:name w:val="hps"/>
    <w:basedOn w:val="Domylnaczcionkaakapitu"/>
    <w:rsid w:val="00331526"/>
  </w:style>
  <w:style w:type="character" w:styleId="Hipercze">
    <w:name w:val="Hyperlink"/>
    <w:basedOn w:val="Domylnaczcionkaakapitu"/>
    <w:uiPriority w:val="99"/>
    <w:unhideWhenUsed/>
    <w:rsid w:val="00E2792A"/>
    <w:rPr>
      <w:color w:val="0000FF" w:themeColor="hyperlink"/>
      <w:u w:val="single"/>
    </w:rPr>
  </w:style>
  <w:style w:type="table" w:styleId="Tabela-Siatka">
    <w:name w:val="Table Grid"/>
    <w:basedOn w:val="Standardowy"/>
    <w:uiPriority w:val="59"/>
    <w:rsid w:val="00E27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6CE3"/>
    <w:pPr>
      <w:ind w:left="720"/>
      <w:contextualSpacing/>
    </w:pPr>
  </w:style>
  <w:style w:type="character" w:customStyle="1" w:styleId="ListParagraphChar">
    <w:name w:val="List Paragraph Char"/>
    <w:link w:val="Akapitzlist1"/>
    <w:locked/>
    <w:rsid w:val="00765C8A"/>
    <w:rPr>
      <w:rFonts w:ascii="Times New Roman" w:eastAsia="Times New Roman" w:hAnsi="Times New Roman" w:cs="Times New Roman"/>
    </w:rPr>
  </w:style>
  <w:style w:type="paragraph" w:customStyle="1" w:styleId="Akapitzlist1">
    <w:name w:val="Akapit z listą1"/>
    <w:basedOn w:val="Normalny"/>
    <w:link w:val="ListParagraphChar"/>
    <w:rsid w:val="00765C8A"/>
    <w:pPr>
      <w:ind w:left="720"/>
      <w:contextualSpacing/>
    </w:pPr>
    <w:rPr>
      <w:rFonts w:ascii="Times New Roman" w:eastAsia="Times New Roman" w:hAnsi="Times New Roman" w:cs="Times New Roman"/>
    </w:rPr>
  </w:style>
  <w:style w:type="character" w:customStyle="1" w:styleId="AkapitzlistZnak">
    <w:name w:val="Akapit z listą Znak"/>
    <w:link w:val="Akapitzlist"/>
    <w:uiPriority w:val="99"/>
    <w:locked/>
    <w:rsid w:val="002F657E"/>
  </w:style>
  <w:style w:type="paragraph" w:customStyle="1" w:styleId="Default">
    <w:name w:val="Default"/>
    <w:rsid w:val="00113CB1"/>
    <w:pPr>
      <w:autoSpaceDE w:val="0"/>
      <w:autoSpaceDN w:val="0"/>
      <w:adjustRightInd w:val="0"/>
      <w:spacing w:after="0" w:line="240" w:lineRule="auto"/>
    </w:pPr>
    <w:rPr>
      <w:rFonts w:ascii="Times New Roman" w:hAnsi="Times New Roman" w:cs="Times New Roman"/>
      <w:color w:val="000000"/>
      <w:szCs w:val="24"/>
    </w:rPr>
  </w:style>
  <w:style w:type="table" w:customStyle="1" w:styleId="Tabela-Siatka1">
    <w:name w:val="Tabela - Siatka1"/>
    <w:basedOn w:val="Standardowy"/>
    <w:next w:val="Tabela-Siatka"/>
    <w:uiPriority w:val="59"/>
    <w:rsid w:val="00020CD9"/>
    <w:pPr>
      <w:spacing w:after="0" w:line="240" w:lineRule="auto"/>
    </w:pPr>
    <w:rPr>
      <w:rFonts w:asciiTheme="minorHAnsi" w:eastAsiaTheme="minorEastAsia" w:hAnsiTheme="minorHAnsi"/>
      <w:sz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3F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D23F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7D23FD"/>
    <w:rPr>
      <w:vertAlign w:val="superscript"/>
    </w:rPr>
  </w:style>
  <w:style w:type="character" w:styleId="Nierozpoznanawzmianka">
    <w:name w:val="Unresolved Mention"/>
    <w:basedOn w:val="Domylnaczcionkaakapitu"/>
    <w:uiPriority w:val="99"/>
    <w:semiHidden/>
    <w:unhideWhenUsed/>
    <w:rsid w:val="00986F9C"/>
    <w:rPr>
      <w:color w:val="605E5C"/>
      <w:shd w:val="clear" w:color="auto" w:fill="E1DFDD"/>
    </w:rPr>
  </w:style>
  <w:style w:type="character" w:styleId="UyteHipercze">
    <w:name w:val="FollowedHyperlink"/>
    <w:basedOn w:val="Domylnaczcionkaakapitu"/>
    <w:uiPriority w:val="99"/>
    <w:semiHidden/>
    <w:unhideWhenUsed/>
    <w:rsid w:val="008435CF"/>
    <w:rPr>
      <w:color w:val="800080" w:themeColor="followedHyperlink"/>
      <w:u w:val="single"/>
    </w:rPr>
  </w:style>
  <w:style w:type="paragraph" w:styleId="HTML-wstpniesformatowany">
    <w:name w:val="HTML Preformatted"/>
    <w:basedOn w:val="Normalny"/>
    <w:link w:val="HTML-wstpniesformatowanyZnak"/>
    <w:uiPriority w:val="99"/>
    <w:unhideWhenUsed/>
    <w:rsid w:val="00AE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E4986"/>
    <w:rPr>
      <w:rFonts w:ascii="Courier New" w:eastAsia="Times New Roman" w:hAnsi="Courier New" w:cs="Courier New"/>
      <w:sz w:val="20"/>
      <w:szCs w:val="20"/>
      <w:lang w:eastAsia="pl-PL"/>
    </w:rPr>
  </w:style>
  <w:style w:type="character" w:customStyle="1" w:styleId="y2iqfc">
    <w:name w:val="y2iqfc"/>
    <w:basedOn w:val="Domylnaczcionkaakapitu"/>
    <w:rsid w:val="00AE4986"/>
  </w:style>
  <w:style w:type="paragraph" w:styleId="NormalnyWeb">
    <w:name w:val="Normal (Web)"/>
    <w:basedOn w:val="Normalny"/>
    <w:uiPriority w:val="99"/>
    <w:semiHidden/>
    <w:unhideWhenUsed/>
    <w:rsid w:val="00D06FCF"/>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981">
      <w:bodyDiv w:val="1"/>
      <w:marLeft w:val="0"/>
      <w:marRight w:val="0"/>
      <w:marTop w:val="0"/>
      <w:marBottom w:val="0"/>
      <w:divBdr>
        <w:top w:val="none" w:sz="0" w:space="0" w:color="auto"/>
        <w:left w:val="none" w:sz="0" w:space="0" w:color="auto"/>
        <w:bottom w:val="none" w:sz="0" w:space="0" w:color="auto"/>
        <w:right w:val="none" w:sz="0" w:space="0" w:color="auto"/>
      </w:divBdr>
    </w:div>
    <w:div w:id="59835140">
      <w:bodyDiv w:val="1"/>
      <w:marLeft w:val="0"/>
      <w:marRight w:val="0"/>
      <w:marTop w:val="0"/>
      <w:marBottom w:val="0"/>
      <w:divBdr>
        <w:top w:val="none" w:sz="0" w:space="0" w:color="auto"/>
        <w:left w:val="none" w:sz="0" w:space="0" w:color="auto"/>
        <w:bottom w:val="none" w:sz="0" w:space="0" w:color="auto"/>
        <w:right w:val="none" w:sz="0" w:space="0" w:color="auto"/>
      </w:divBdr>
    </w:div>
    <w:div w:id="153381207">
      <w:bodyDiv w:val="1"/>
      <w:marLeft w:val="0"/>
      <w:marRight w:val="0"/>
      <w:marTop w:val="0"/>
      <w:marBottom w:val="0"/>
      <w:divBdr>
        <w:top w:val="none" w:sz="0" w:space="0" w:color="auto"/>
        <w:left w:val="none" w:sz="0" w:space="0" w:color="auto"/>
        <w:bottom w:val="none" w:sz="0" w:space="0" w:color="auto"/>
        <w:right w:val="none" w:sz="0" w:space="0" w:color="auto"/>
      </w:divBdr>
    </w:div>
    <w:div w:id="466321127">
      <w:bodyDiv w:val="1"/>
      <w:marLeft w:val="0"/>
      <w:marRight w:val="0"/>
      <w:marTop w:val="0"/>
      <w:marBottom w:val="0"/>
      <w:divBdr>
        <w:top w:val="none" w:sz="0" w:space="0" w:color="auto"/>
        <w:left w:val="none" w:sz="0" w:space="0" w:color="auto"/>
        <w:bottom w:val="none" w:sz="0" w:space="0" w:color="auto"/>
        <w:right w:val="none" w:sz="0" w:space="0" w:color="auto"/>
      </w:divBdr>
    </w:div>
    <w:div w:id="539786534">
      <w:bodyDiv w:val="1"/>
      <w:marLeft w:val="0"/>
      <w:marRight w:val="0"/>
      <w:marTop w:val="0"/>
      <w:marBottom w:val="0"/>
      <w:divBdr>
        <w:top w:val="none" w:sz="0" w:space="0" w:color="auto"/>
        <w:left w:val="none" w:sz="0" w:space="0" w:color="auto"/>
        <w:bottom w:val="none" w:sz="0" w:space="0" w:color="auto"/>
        <w:right w:val="none" w:sz="0" w:space="0" w:color="auto"/>
      </w:divBdr>
    </w:div>
    <w:div w:id="578246632">
      <w:bodyDiv w:val="1"/>
      <w:marLeft w:val="0"/>
      <w:marRight w:val="0"/>
      <w:marTop w:val="0"/>
      <w:marBottom w:val="0"/>
      <w:divBdr>
        <w:top w:val="none" w:sz="0" w:space="0" w:color="auto"/>
        <w:left w:val="none" w:sz="0" w:space="0" w:color="auto"/>
        <w:bottom w:val="none" w:sz="0" w:space="0" w:color="auto"/>
        <w:right w:val="none" w:sz="0" w:space="0" w:color="auto"/>
      </w:divBdr>
    </w:div>
    <w:div w:id="665281425">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1107851244">
      <w:bodyDiv w:val="1"/>
      <w:marLeft w:val="0"/>
      <w:marRight w:val="0"/>
      <w:marTop w:val="0"/>
      <w:marBottom w:val="0"/>
      <w:divBdr>
        <w:top w:val="none" w:sz="0" w:space="0" w:color="auto"/>
        <w:left w:val="none" w:sz="0" w:space="0" w:color="auto"/>
        <w:bottom w:val="none" w:sz="0" w:space="0" w:color="auto"/>
        <w:right w:val="none" w:sz="0" w:space="0" w:color="auto"/>
      </w:divBdr>
    </w:div>
    <w:div w:id="1799760157">
      <w:bodyDiv w:val="1"/>
      <w:marLeft w:val="0"/>
      <w:marRight w:val="0"/>
      <w:marTop w:val="0"/>
      <w:marBottom w:val="0"/>
      <w:divBdr>
        <w:top w:val="none" w:sz="0" w:space="0" w:color="auto"/>
        <w:left w:val="none" w:sz="0" w:space="0" w:color="auto"/>
        <w:bottom w:val="none" w:sz="0" w:space="0" w:color="auto"/>
        <w:right w:val="none" w:sz="0" w:space="0" w:color="auto"/>
      </w:divBdr>
    </w:div>
    <w:div w:id="19145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716423">
          <w:marLeft w:val="0"/>
          <w:marRight w:val="0"/>
          <w:marTop w:val="0"/>
          <w:marBottom w:val="0"/>
          <w:divBdr>
            <w:top w:val="none" w:sz="0" w:space="0" w:color="auto"/>
            <w:left w:val="none" w:sz="0" w:space="0" w:color="auto"/>
            <w:bottom w:val="none" w:sz="0" w:space="0" w:color="auto"/>
            <w:right w:val="none" w:sz="0" w:space="0" w:color="auto"/>
          </w:divBdr>
          <w:divsChild>
            <w:div w:id="984353711">
              <w:marLeft w:val="0"/>
              <w:marRight w:val="0"/>
              <w:marTop w:val="0"/>
              <w:marBottom w:val="0"/>
              <w:divBdr>
                <w:top w:val="none" w:sz="0" w:space="0" w:color="auto"/>
                <w:left w:val="none" w:sz="0" w:space="0" w:color="auto"/>
                <w:bottom w:val="none" w:sz="0" w:space="0" w:color="auto"/>
                <w:right w:val="none" w:sz="0" w:space="0" w:color="auto"/>
              </w:divBdr>
              <w:divsChild>
                <w:div w:id="2098135976">
                  <w:marLeft w:val="0"/>
                  <w:marRight w:val="0"/>
                  <w:marTop w:val="0"/>
                  <w:marBottom w:val="0"/>
                  <w:divBdr>
                    <w:top w:val="none" w:sz="0" w:space="0" w:color="auto"/>
                    <w:left w:val="none" w:sz="0" w:space="0" w:color="auto"/>
                    <w:bottom w:val="none" w:sz="0" w:space="0" w:color="auto"/>
                    <w:right w:val="none" w:sz="0" w:space="0" w:color="auto"/>
                  </w:divBdr>
                  <w:divsChild>
                    <w:div w:id="1880774869">
                      <w:marLeft w:val="0"/>
                      <w:marRight w:val="0"/>
                      <w:marTop w:val="0"/>
                      <w:marBottom w:val="0"/>
                      <w:divBdr>
                        <w:top w:val="none" w:sz="0" w:space="0" w:color="auto"/>
                        <w:left w:val="none" w:sz="0" w:space="0" w:color="auto"/>
                        <w:bottom w:val="none" w:sz="0" w:space="0" w:color="auto"/>
                        <w:right w:val="none" w:sz="0" w:space="0" w:color="auto"/>
                      </w:divBdr>
                      <w:divsChild>
                        <w:div w:id="2110004719">
                          <w:marLeft w:val="0"/>
                          <w:marRight w:val="0"/>
                          <w:marTop w:val="0"/>
                          <w:marBottom w:val="0"/>
                          <w:divBdr>
                            <w:top w:val="none" w:sz="0" w:space="0" w:color="auto"/>
                            <w:left w:val="none" w:sz="0" w:space="0" w:color="auto"/>
                            <w:bottom w:val="none" w:sz="0" w:space="0" w:color="auto"/>
                            <w:right w:val="none" w:sz="0" w:space="0" w:color="auto"/>
                          </w:divBdr>
                          <w:divsChild>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u2020.eu/pl/pages/3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bu2020.eu/pl/pages/343" TargetMode="External"/><Relationship Id="rId4" Type="http://schemas.openxmlformats.org/officeDocument/2006/relationships/settings" Target="settings.xml"/><Relationship Id="rId9" Type="http://schemas.openxmlformats.org/officeDocument/2006/relationships/hyperlink" Target="https://www.pbu2020.eu/en/pages/3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DD73-8412-4115-9D0C-825B2A10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1033</Words>
  <Characters>6200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przemysl@ukraincy.org.pl</cp:lastModifiedBy>
  <cp:revision>24</cp:revision>
  <cp:lastPrinted>2019-02-01T07:15:00Z</cp:lastPrinted>
  <dcterms:created xsi:type="dcterms:W3CDTF">2019-02-01T07:15:00Z</dcterms:created>
  <dcterms:modified xsi:type="dcterms:W3CDTF">2022-06-23T11:22:00Z</dcterms:modified>
</cp:coreProperties>
</file>